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6"/>
        <w:ind w:left="102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 3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12" w:line="240" w:lineRule="auto"/>
        <w:rPr>
          <w:rFonts w:hint="eastAsia" w:asciiTheme="minorEastAsia" w:hAnsiTheme="minorEastAsia" w:eastAsiaTheme="minorEastAsia" w:cstheme="minorEastAsia"/>
          <w:sz w:val="15"/>
        </w:rPr>
      </w:pPr>
    </w:p>
    <w:p>
      <w:pPr>
        <w:pStyle w:val="2"/>
        <w:ind w:left="5842" w:right="5837"/>
        <w:rPr>
          <w:rFonts w:hint="eastAsia" w:asciiTheme="minorEastAsia" w:hAnsiTheme="minorEastAsia" w:eastAsiaTheme="minorEastAsia" w:cstheme="minorEastAsi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</w:rPr>
        <w:t>企业员工信息表</w:t>
      </w:r>
    </w:p>
    <w:bookmarkEnd w:id="0"/>
    <w:p>
      <w:pPr>
        <w:tabs>
          <w:tab w:val="left" w:pos="12942"/>
          <w:tab w:val="left" w:pos="13540"/>
        </w:tabs>
        <w:spacing w:before="326" w:after="11"/>
        <w:ind w:left="8565" w:right="0" w:firstLine="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填报单位（盖章）填报时间：2020</w:t>
      </w:r>
      <w:r>
        <w:rPr>
          <w:rFonts w:hint="eastAsia" w:asciiTheme="minorEastAsia" w:hAnsiTheme="minorEastAsia" w:eastAsiaTheme="minorEastAsia" w:cstheme="minorEastAsia"/>
          <w:spacing w:val="-63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</w:rPr>
        <w:t>日</w:t>
      </w: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968"/>
        <w:gridCol w:w="1748"/>
        <w:gridCol w:w="1062"/>
        <w:gridCol w:w="4064"/>
        <w:gridCol w:w="951"/>
        <w:gridCol w:w="1131"/>
        <w:gridCol w:w="1556"/>
        <w:gridCol w:w="1249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82" w:type="dxa"/>
          </w:tcPr>
          <w:p>
            <w:pPr>
              <w:pStyle w:val="6"/>
              <w:spacing w:before="2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ind w:left="24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968" w:type="dxa"/>
          </w:tcPr>
          <w:p>
            <w:pPr>
              <w:pStyle w:val="6"/>
              <w:spacing w:before="2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ind w:left="241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748" w:type="dxa"/>
          </w:tcPr>
          <w:p>
            <w:pPr>
              <w:pStyle w:val="6"/>
              <w:spacing w:before="2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ind w:left="392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1062" w:type="dxa"/>
          </w:tcPr>
          <w:p>
            <w:pPr>
              <w:pStyle w:val="6"/>
              <w:spacing w:before="2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ind w:left="167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户籍地</w:t>
            </w:r>
          </w:p>
        </w:tc>
        <w:tc>
          <w:tcPr>
            <w:tcW w:w="4064" w:type="dxa"/>
          </w:tcPr>
          <w:p>
            <w:pPr>
              <w:pStyle w:val="6"/>
              <w:spacing w:before="2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ind w:left="1527" w:right="152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居住地址</w:t>
            </w:r>
          </w:p>
        </w:tc>
        <w:tc>
          <w:tcPr>
            <w:tcW w:w="951" w:type="dxa"/>
          </w:tcPr>
          <w:p>
            <w:pPr>
              <w:pStyle w:val="6"/>
              <w:spacing w:before="33" w:line="235" w:lineRule="auto"/>
              <w:ind w:left="228" w:right="231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是否离渝</w:t>
            </w:r>
          </w:p>
        </w:tc>
        <w:tc>
          <w:tcPr>
            <w:tcW w:w="1131" w:type="dxa"/>
          </w:tcPr>
          <w:p>
            <w:pPr>
              <w:pStyle w:val="6"/>
              <w:spacing w:before="2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ind w:left="201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去往地</w:t>
            </w:r>
          </w:p>
        </w:tc>
        <w:tc>
          <w:tcPr>
            <w:tcW w:w="1556" w:type="dxa"/>
          </w:tcPr>
          <w:p>
            <w:pPr>
              <w:pStyle w:val="6"/>
              <w:spacing w:before="2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ind w:left="28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返璧时间</w:t>
            </w:r>
          </w:p>
        </w:tc>
        <w:tc>
          <w:tcPr>
            <w:tcW w:w="1249" w:type="dxa"/>
          </w:tcPr>
          <w:p>
            <w:pPr>
              <w:pStyle w:val="6"/>
              <w:spacing w:before="2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ind w:left="137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返回方式</w:t>
            </w:r>
          </w:p>
        </w:tc>
        <w:tc>
          <w:tcPr>
            <w:tcW w:w="855" w:type="dxa"/>
          </w:tcPr>
          <w:p>
            <w:pPr>
              <w:pStyle w:val="6"/>
              <w:spacing w:before="2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6"/>
              <w:ind w:left="17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6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6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6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6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6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6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8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6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64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6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5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before="17" w:line="249" w:lineRule="auto"/>
        <w:ind w:left="1504" w:right="6691" w:hanging="48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注：1．户籍地应载明所在省、市、区（县）情况。如：重庆璧山。2．居住地应明确到镇街、村（社区）具体门牌号。</w:t>
      </w:r>
    </w:p>
    <w:p>
      <w:pPr>
        <w:pStyle w:val="7"/>
        <w:numPr>
          <w:ilvl w:val="1"/>
          <w:numId w:val="1"/>
        </w:numPr>
        <w:tabs>
          <w:tab w:val="left" w:pos="1866"/>
        </w:tabs>
        <w:spacing w:before="1" w:after="0" w:line="240" w:lineRule="auto"/>
        <w:ind w:left="1865" w:right="0" w:hanging="362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</w:rPr>
        <w:t xml:space="preserve">是否离渝：是指 </w:t>
      </w:r>
      <w:r>
        <w:rPr>
          <w:rFonts w:hint="eastAsia" w:asciiTheme="minorEastAsia" w:hAnsiTheme="minorEastAsia" w:eastAsiaTheme="minorEastAsia" w:cstheme="minorEastAsia"/>
          <w:sz w:val="24"/>
        </w:rPr>
        <w:t>2020</w:t>
      </w:r>
      <w:r>
        <w:rPr>
          <w:rFonts w:hint="eastAsia" w:asciiTheme="minorEastAsia" w:hAnsiTheme="minorEastAsia" w:eastAsiaTheme="minorEastAsia" w:cstheme="minorEastAsia"/>
          <w:spacing w:val="-40"/>
          <w:sz w:val="24"/>
        </w:rPr>
        <w:t xml:space="preserve"> 年 </w:t>
      </w:r>
      <w:r>
        <w:rPr>
          <w:rFonts w:hint="eastAsia" w:asciiTheme="minorEastAsia" w:hAnsiTheme="minorEastAsia" w:eastAsiaTheme="minorEastAsia" w:cstheme="minorEastAsia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spacing w:val="-40"/>
          <w:sz w:val="24"/>
        </w:rPr>
        <w:t xml:space="preserve"> 月 </w:t>
      </w:r>
      <w:r>
        <w:rPr>
          <w:rFonts w:hint="eastAsia" w:asciiTheme="minorEastAsia" w:hAnsiTheme="minorEastAsia" w:eastAsiaTheme="minorEastAsia" w:cstheme="minorEastAsia"/>
          <w:sz w:val="24"/>
        </w:rPr>
        <w:t>23</w:t>
      </w:r>
      <w:r>
        <w:rPr>
          <w:rFonts w:hint="eastAsia" w:asciiTheme="minorEastAsia" w:hAnsiTheme="minorEastAsia" w:eastAsiaTheme="minorEastAsia" w:cstheme="minorEastAsia"/>
          <w:spacing w:val="-8"/>
          <w:sz w:val="24"/>
        </w:rPr>
        <w:t xml:space="preserve"> 日后是否离开过重庆辖区。</w:t>
      </w:r>
    </w:p>
    <w:p>
      <w:pPr>
        <w:pStyle w:val="7"/>
        <w:numPr>
          <w:ilvl w:val="1"/>
          <w:numId w:val="1"/>
        </w:numPr>
        <w:tabs>
          <w:tab w:val="left" w:pos="1868"/>
        </w:tabs>
        <w:spacing w:before="11" w:after="0" w:line="249" w:lineRule="auto"/>
        <w:ind w:left="1867" w:right="1018" w:hanging="36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4"/>
          <w:w w:val="95"/>
          <w:sz w:val="24"/>
        </w:rPr>
        <w:t>返回方式：应填写返回重庆</w:t>
      </w:r>
      <w:r>
        <w:rPr>
          <w:rFonts w:hint="eastAsia" w:asciiTheme="minorEastAsia" w:hAnsiTheme="minorEastAsia" w:eastAsiaTheme="minorEastAsia" w:cstheme="minorEastAsia"/>
          <w:w w:val="95"/>
          <w:sz w:val="24"/>
        </w:rPr>
        <w:t>（璧山</w:t>
      </w:r>
      <w:r>
        <w:rPr>
          <w:rFonts w:hint="eastAsia" w:asciiTheme="minorEastAsia" w:hAnsiTheme="minorEastAsia" w:eastAsiaTheme="minorEastAsia" w:cstheme="minorEastAsia"/>
          <w:spacing w:val="-7"/>
          <w:w w:val="95"/>
          <w:sz w:val="24"/>
        </w:rPr>
        <w:t xml:space="preserve">）的具体交通方式，如：自驾、飞机、火车、汽车等。除自驾外，其余返回方式    </w:t>
      </w:r>
      <w:r>
        <w:rPr>
          <w:rFonts w:hint="eastAsia" w:asciiTheme="minorEastAsia" w:hAnsiTheme="minorEastAsia" w:eastAsiaTheme="minorEastAsia" w:cstheme="minorEastAsia"/>
          <w:spacing w:val="-7"/>
          <w:sz w:val="24"/>
        </w:rPr>
        <w:t>应在备注栏内填写航班号或车次、班次。</w:t>
      </w:r>
    </w:p>
    <w:p>
      <w:pPr>
        <w:pStyle w:val="7"/>
        <w:numPr>
          <w:ilvl w:val="1"/>
          <w:numId w:val="1"/>
        </w:numPr>
        <w:tabs>
          <w:tab w:val="left" w:pos="1868"/>
        </w:tabs>
        <w:spacing w:before="2" w:after="0" w:line="249" w:lineRule="auto"/>
        <w:ind w:left="1867" w:right="1017" w:hanging="36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pacing w:val="-6"/>
          <w:sz w:val="24"/>
        </w:rPr>
        <w:t>本表一式两份，填报单位和行业主管部门各执一份。复工人员若有增减变化的，同样使用该表格于当日向行业主管部门上报。</w:t>
      </w:r>
    </w:p>
    <w:p>
      <w:pPr>
        <w:spacing w:before="179"/>
        <w:ind w:left="1384" w:right="0" w:firstLine="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― 12 ―</w:t>
      </w:r>
    </w:p>
    <w:p>
      <w:pPr>
        <w:spacing w:after="0"/>
        <w:jc w:val="left"/>
        <w:rPr>
          <w:rFonts w:hint="eastAsia" w:asciiTheme="minorEastAsia" w:hAnsiTheme="minorEastAsia" w:eastAsiaTheme="minorEastAsia" w:cstheme="minorEastAsia"/>
          <w:sz w:val="28"/>
        </w:rPr>
        <w:sectPr>
          <w:footerReference r:id="rId3" w:type="even"/>
          <w:pgSz w:w="16840" w:h="11910" w:orient="landscape"/>
          <w:pgMar w:top="1100" w:right="1080" w:bottom="280" w:left="960" w:header="0" w:footer="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08" w:hanging="477"/>
        <w:jc w:val="left"/>
      </w:pPr>
      <w:rPr>
        <w:rFonts w:hint="default" w:ascii="宋体" w:hAnsi="宋体" w:eastAsia="宋体" w:cs="宋体"/>
        <w:spacing w:val="-82"/>
        <w:w w:val="99"/>
        <w:sz w:val="30"/>
        <w:szCs w:val="30"/>
        <w:lang w:val="zh-CN" w:eastAsia="zh-CN" w:bidi="zh-CN"/>
      </w:rPr>
    </w:lvl>
    <w:lvl w:ilvl="1" w:tentative="0">
      <w:start w:val="3"/>
      <w:numFmt w:val="decimal"/>
      <w:lvlText w:val="%2."/>
      <w:lvlJc w:val="left"/>
      <w:pPr>
        <w:ind w:left="1865" w:hanging="361"/>
        <w:jc w:val="left"/>
      </w:pPr>
      <w:rPr>
        <w:rFonts w:hint="default" w:ascii="宋体" w:hAnsi="宋体" w:eastAsia="宋体" w:cs="宋体"/>
        <w:spacing w:val="-60"/>
        <w:w w:val="99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0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58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16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4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32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90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9" w:hanging="3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247BC"/>
    <w:rsid w:val="3B42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4603" w:right="5116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"/>
    </w:pPr>
    <w:rPr>
      <w:rFonts w:ascii="宋体" w:hAnsi="宋体" w:eastAsia="宋体" w:cs="宋体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308" w:right="307" w:firstLine="630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2020-02-13T02:28:00Z</dcterms:created>
  <dc:creator>Walking beside me</dc:creator>
  <cp:lastModifiedBy>Walking beside me</cp:lastModifiedBy>
  <dcterms:modified xsi:type="dcterms:W3CDTF">2020-02-13T02:28:49Z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