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78" w:lineRule="exact"/>
        <w:rPr>
          <w:rFonts w:ascii="Times New Roman" w:hAnsi="Times New Roman" w:eastAsia="方正黑体_GBK"/>
          <w:sz w:val="32"/>
        </w:rPr>
      </w:pPr>
      <w:bookmarkStart w:id="0" w:name="_GoBack"/>
      <w:r>
        <w:rPr>
          <w:rFonts w:hint="eastAsia" w:ascii="Times New Roman" w:hAnsi="Times New Roman" w:eastAsia="方正黑体_GBK"/>
          <w:sz w:val="32"/>
        </w:rPr>
        <w:t>附件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line="578" w:lineRule="exact"/>
        <w:rPr>
          <w:rFonts w:ascii="Times New Roman" w:hAnsi="Times New Roman" w:eastAsia="方正仿宋_GBK"/>
          <w:sz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jc w:val="left"/>
        <w:rPr>
          <w:rFonts w:ascii="Times New Roman" w:hAnsi="Times New Roman" w:eastAsia="方正小标宋_GBK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napToGrid w:val="0"/>
          <w:kern w:val="0"/>
          <w:sz w:val="44"/>
          <w:szCs w:val="44"/>
        </w:rPr>
        <w:t>重庆市璧山区人民代表大会财政经济委员会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关于重庆市璧山区2021年区本级预算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调整方案（草案）的审查结果报告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区人大常委会：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区人大财经委依据预算法和《重庆市预算审查监督条例》规定，对区财政局提出的2021年区本级预算调整初步方案进行了初步审查，对区政府向区人大常委会提出的《重庆市璧山区2021年区本级预算调整方案（草案）》进行了审查，现将审查结果报告如下：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一、本次预算调整符合规定要求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为了增强预算执行的严肃性，区财政局对2021年区本级和街道年初预算执行情况组织开展了深入分析调研，调研表明，因以下几方面原因需要进行预算调整：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在区本级一般公共预算收入中，因宏观经济形势及减税降费政策的持续影响，2021年税收收入预计减少1.49亿元，上级转移性支付补助收入较年初预算减少1.93亿元，债务收入较年初预算增加2亿元；在区本级一般公共预算支出中，上解上级支出较年初预算减少1.19亿元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在区本级政府性基金预算收入中，本级收入较年初预算将增加2.75亿元，债务收入较年初预算增加4亿元；在区本级政府性基金预算支出中，债务还本支出减少2.28亿元，也需要进行其他支出安排。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在部分街道本级收入中，税收收入较年初预算将增加1.41亿元，按预算法应列入预算稳定调节基金，但相关街道2021年的支出压力太大，为保运转需要，提出进行支出安排。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以上因素将导致区十七届人大五次会议审查批准的2021年区本级和街道预算收支发生变化。区本级一般公共预算收入总计由年初预算85.78亿元需调整为84.40亿元，调减1.38亿元；区本级政府性基金预算收入总计由年初预算109.87亿元调整为124.49亿元，调增14.62亿元。街道一般公共预算收入由年初预算10.54亿元调整为12.1亿元，调增1.56亿元，街道政府性基金预算收入因上级补助收入增加由年初预算0.12亿元调整为0.79亿元，调增0.67亿元。为了区本级和街道运行管理的需要，根据预算法，须对区本级和街道2021年一般公共预算、政府性基金预算收支进行预算调整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同时，区财政局为了切实提高部门预算资金的使用效益，对项目预算支出年内无法执行的，集中开展单位和项目间的调剂使用，这既能充分发挥财政资金的使用绩效，又有利于提高决算编制质量。对个别类款项调剂数额较大的，报告进行了说明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区本级对街道补助收入增加、提出使用当年超收收入，都是街道保工资、保运转、保基本民生的刚性支出需要。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二、支出预算调整方案有保有压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在预算支出调整中，坚持把保工资、保运转、保基本民生放在第一位，坚持教育支出、社保支出、节能环保支出、公共卫生支出、“三农”支出不减，政府性投资项目支出有保有压。区本级一般公共预算支出总的调减1.38亿元。其中：本级支出调减0.84亿元，补助镇街调增0.64亿元；社会保障和就业支出调增2.30亿元，灾害防治及应急管理支出调增0.42亿元。一般公共预算和政府性基金预算新增债务收入6亿元，严格按照对应项目使用安排，主要用于绿岛丽景保障性工程、高新技术成果转化产业园、新能源产业园市政及基础设施建设等支出。这些支出，既立足当前，也考虑璧山长远发展。 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以上预算收支调整后，全区2021年一般公共预算、政府性基金预算、国有资本经营预算汇总预算相应同步调整。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三、意见建议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区人大财经委审查认为，区政府提出的预算调整方案（草案）既符合预算法相关规定，又是确保我区经济社会发展和机关运行的现实需要；既坚持“过紧日子”，又力求把有限财力用在关键处；既强调预算的严肃性，又突出财政资金作用的发挥。区人大财经委建议区人大常委会批准区政府提出的关于2021年区本级预算调整方案（草案）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区人大财经委建议，区政府及相关部门，要积极应对经济发展中可能存在的各种不稳定不确定因素，把组织好收入放在财政管理工作的第一位，做好明年财政经济形势尤其是房地产业的研判，及时分析收入征管工作中的具体问题，协同各方力量，做到应收尽收，同时采取措施进一步优化支出结构，保障“三保”和重点项目、重点资金需要，确保财政预算总体平衡，切实增强财政保障能力。财政部门要进一步规范预算编制工作，不断提高预算编制的科学性、可行性、有效性和全面性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以上报告，请予审议。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firstLine="528" w:firstLineChars="200"/>
        <w:jc w:val="right"/>
        <w:rPr>
          <w:rFonts w:ascii="Times New Roman" w:hAnsi="Times New Roman" w:eastAsia="方正仿宋_GBK"/>
          <w:spacing w:val="-28"/>
          <w:sz w:val="32"/>
        </w:rPr>
      </w:pPr>
      <w:r>
        <w:rPr>
          <w:rFonts w:hint="eastAsia" w:ascii="Times New Roman" w:hAnsi="Times New Roman" w:eastAsia="方正仿宋_GBK"/>
          <w:spacing w:val="-28"/>
          <w:sz w:val="32"/>
        </w:rPr>
        <w:t>重庆市璧山区人民代表大会财政经济委员会</w:t>
      </w:r>
    </w:p>
    <w:p>
      <w:pPr>
        <w:wordWrap w:val="0"/>
        <w:overflowPunct w:val="0"/>
        <w:autoSpaceDE w:val="0"/>
        <w:autoSpaceDN w:val="0"/>
        <w:adjustRightInd w:val="0"/>
        <w:snapToGrid w:val="0"/>
        <w:spacing w:line="578" w:lineRule="exact"/>
        <w:ind w:firstLine="640" w:firstLineChars="200"/>
        <w:jc w:val="right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sz w:val="32"/>
        </w:rPr>
        <w:t>2021年12月14日　　　　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18" w:bottom="1985" w:left="1525" w:header="0" w:footer="1395" w:gutter="0"/>
          <w:cols w:space="425" w:num="1"/>
          <w:docGrid w:type="lines" w:linePitch="312" w:charSpace="0"/>
        </w:sect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44450</wp:posOffset>
                </wp:positionV>
                <wp:extent cx="568769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3pt;margin-top:3.5pt;height:0pt;width:447.85pt;mso-position-horizontal-relative:margin;z-index:251659264;mso-width-relative:page;mso-height-relative:page;" filled="f" stroked="t" coordsize="21600,21600" o:gfxdata="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6b&#10;LzrQAAAABAEAAA8AAAAAAAAAAQAgAAAAIgAAAGRycy9kb3ducmV2LnhtbFBLAQIUABQAAAAIAIdO&#10;4kAhoGEI8gEAAL8DAAAOAAAAAAAAAAEAIAAAAB8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主送：区人民政府。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抄送：区财政局。</w:t>
      </w:r>
    </w:p>
    <w:p>
      <w:pPr>
        <w:overflowPunct w:val="0"/>
        <w:autoSpaceDE w:val="0"/>
        <w:autoSpaceDN w:val="0"/>
        <w:adjustRightInd w:val="0"/>
        <w:snapToGrid w:val="0"/>
        <w:spacing w:line="578" w:lineRule="exact"/>
        <w:ind w:left="315" w:leftChars="150" w:right="315" w:rightChars="15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568769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3pt;margin-top:2.85pt;height:0pt;width:447.85pt;mso-position-horizontal-relative:margin;z-index:251660288;mso-width-relative:page;mso-height-relative:page;" filled="f" stroked="t" coordsize="21600,21600" o:gfxdata="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nlN/dMAAAAEAQAADwAAAAAAAAABACAAAAAiAAAAZHJzL2Rvd25yZXYueG1sUEsBAhQAFAAA&#10;AAgAh07iQL0DL9b0AQAAvg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仿宋_GBK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389890</wp:posOffset>
                </wp:positionV>
                <wp:extent cx="568769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0.7pt;height:0pt;width:447.85pt;mso-position-horizontal-relative:margin;z-index:251661312;mso-width-relative:page;mso-height-relative:page;" filled="f" stroked="t" coordsize="21600,21600" o:gfxdata="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L9bpNIAAAAGAQAADwAAAAAAAAABACAAAAAiAAAAZHJzL2Rvd25yZXYueG1sUEsBAhQAFAAAAAgA&#10;h07iQHUlgrbyAQAAvwMAAA4AAAAAAAAAAQAgAAAAI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重庆市璧山区人大常委会办公室             2021年12月15日印发</w:t>
      </w:r>
    </w:p>
    <w:sectPr>
      <w:footerReference r:id="rId5" w:type="even"/>
      <w:type w:val="evenPage"/>
      <w:pgSz w:w="11906" w:h="16838"/>
      <w:pgMar w:top="2098" w:right="1418" w:bottom="1985" w:left="1525" w:header="0" w:footer="13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6575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270"/>
          <w:jc w:val="right"/>
          <w:rPr>
            <w:rFonts w:ascii="宋体" w:hAnsi="宋体" w:eastAsia="宋体" w:cs="Times New Roman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－　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420434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630"/>
          <w:rPr>
            <w:rFonts w:ascii="宋体" w:hAnsi="宋体" w:eastAsia="宋体" w:cs="Times New Roman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　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62"/>
    <w:rsid w:val="000F3344"/>
    <w:rsid w:val="0010072D"/>
    <w:rsid w:val="00123F30"/>
    <w:rsid w:val="00142C65"/>
    <w:rsid w:val="00251822"/>
    <w:rsid w:val="00293B16"/>
    <w:rsid w:val="00314A05"/>
    <w:rsid w:val="003A6656"/>
    <w:rsid w:val="0043564A"/>
    <w:rsid w:val="00447860"/>
    <w:rsid w:val="004B3552"/>
    <w:rsid w:val="004F2AB7"/>
    <w:rsid w:val="00524718"/>
    <w:rsid w:val="0066213B"/>
    <w:rsid w:val="006B1085"/>
    <w:rsid w:val="007B76C6"/>
    <w:rsid w:val="00943DEC"/>
    <w:rsid w:val="009539E2"/>
    <w:rsid w:val="009D11C7"/>
    <w:rsid w:val="00BA2A53"/>
    <w:rsid w:val="00C068BE"/>
    <w:rsid w:val="00C143FE"/>
    <w:rsid w:val="00CB7DAD"/>
    <w:rsid w:val="00CD32C1"/>
    <w:rsid w:val="00D07AEF"/>
    <w:rsid w:val="00D13B42"/>
    <w:rsid w:val="00D50704"/>
    <w:rsid w:val="00E43979"/>
    <w:rsid w:val="00E83827"/>
    <w:rsid w:val="00F4145F"/>
    <w:rsid w:val="00FA6E71"/>
    <w:rsid w:val="00FD4662"/>
    <w:rsid w:val="01F3216D"/>
    <w:rsid w:val="02202FD5"/>
    <w:rsid w:val="040D5CC0"/>
    <w:rsid w:val="051A21FE"/>
    <w:rsid w:val="0BF03BD6"/>
    <w:rsid w:val="0E4A5AFA"/>
    <w:rsid w:val="1C154F4C"/>
    <w:rsid w:val="1D9F7E0D"/>
    <w:rsid w:val="288F3042"/>
    <w:rsid w:val="31B443A5"/>
    <w:rsid w:val="3C8D4D65"/>
    <w:rsid w:val="404A5721"/>
    <w:rsid w:val="430C622C"/>
    <w:rsid w:val="4365358A"/>
    <w:rsid w:val="4ADD317E"/>
    <w:rsid w:val="4E2E6571"/>
    <w:rsid w:val="506C7F9F"/>
    <w:rsid w:val="51297226"/>
    <w:rsid w:val="51546EF0"/>
    <w:rsid w:val="53ED38DA"/>
    <w:rsid w:val="55595FE8"/>
    <w:rsid w:val="5F08147F"/>
    <w:rsid w:val="65916AC0"/>
    <w:rsid w:val="6E211972"/>
    <w:rsid w:val="713F4242"/>
    <w:rsid w:val="75F513F3"/>
    <w:rsid w:val="770B604F"/>
    <w:rsid w:val="7E3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adjustRightInd w:val="0"/>
      <w:snapToGrid w:val="0"/>
      <w:spacing w:line="578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Times New Roman" w:hAnsi="Times New Roman" w:eastAsia="方正小标宋_GBK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329</Words>
  <Characters>1881</Characters>
  <Lines>15</Lines>
  <Paragraphs>4</Paragraphs>
  <TotalTime>5</TotalTime>
  <ScaleCrop>false</ScaleCrop>
  <LinksUpToDate>false</LinksUpToDate>
  <CharactersWithSpaces>2206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2020-10-16T06:46:00Z</dcterms:created>
  <dc:creator>微软用户</dc:creator>
  <cp:lastModifiedBy>苏某某</cp:lastModifiedBy>
  <cp:lastPrinted>2021-12-14T06:45:00Z</cp:lastPrinted>
  <dcterms:modified xsi:type="dcterms:W3CDTF">2022-02-11T07:05:27Z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B2C623754E63485BB2D55216B835113B</vt:lpwstr>
  </property>
</Properties>
</file>