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b/>
          <w:kern w:val="0"/>
          <w:sz w:val="32"/>
          <w:szCs w:val="36"/>
          <w:highlight w:val="none"/>
          <w:lang w:eastAsia="zh-CN"/>
        </w:rPr>
      </w:pPr>
      <w:r>
        <w:rPr>
          <w:rFonts w:hint="eastAsia" w:ascii="宋体" w:hAnsi="宋体" w:cs="宋体"/>
          <w:b/>
          <w:kern w:val="0"/>
          <w:sz w:val="32"/>
          <w:szCs w:val="36"/>
          <w:highlight w:val="none"/>
        </w:rPr>
        <w:t>项目名称：重庆新机场</w:t>
      </w:r>
      <w:r>
        <w:rPr>
          <w:rFonts w:hint="eastAsia" w:ascii="宋体" w:hAnsi="宋体" w:cs="宋体"/>
          <w:b/>
          <w:kern w:val="0"/>
          <w:sz w:val="32"/>
          <w:szCs w:val="36"/>
          <w:highlight w:val="none"/>
          <w:lang w:eastAsia="zh-CN"/>
        </w:rPr>
        <w:t>防洪专项研究</w:t>
      </w:r>
    </w:p>
    <w:p>
      <w:pPr>
        <w:tabs>
          <w:tab w:val="left" w:pos="1695"/>
          <w:tab w:val="left" w:pos="3370"/>
          <w:tab w:val="left" w:pos="5555"/>
        </w:tabs>
        <w:autoSpaceDE w:val="0"/>
        <w:autoSpaceDN w:val="0"/>
        <w:adjustRightInd w:val="0"/>
        <w:snapToGrid w:val="0"/>
        <w:spacing w:line="360" w:lineRule="auto"/>
        <w:ind w:left="1391" w:hanging="1391" w:hangingChars="495"/>
        <w:jc w:val="left"/>
        <w:rPr>
          <w:rFonts w:hint="eastAsia" w:ascii="宋体" w:hAnsi="宋体" w:cs="宋体"/>
          <w:b/>
          <w:kern w:val="0"/>
          <w:sz w:val="28"/>
          <w:szCs w:val="28"/>
          <w:highlight w:val="none"/>
        </w:rPr>
      </w:pPr>
      <w:r>
        <w:rPr>
          <w:rFonts w:hint="eastAsia" w:ascii="宋体" w:hAnsi="宋体" w:cs="宋体"/>
          <w:b/>
          <w:kern w:val="0"/>
          <w:sz w:val="28"/>
          <w:szCs w:val="28"/>
          <w:highlight w:val="none"/>
        </w:rPr>
        <w:t>招标编号：SFG2200140483AS</w:t>
      </w:r>
    </w:p>
    <w:p>
      <w:pPr>
        <w:tabs>
          <w:tab w:val="left" w:pos="1695"/>
          <w:tab w:val="left" w:pos="3370"/>
          <w:tab w:val="left" w:pos="5555"/>
        </w:tabs>
        <w:autoSpaceDE w:val="0"/>
        <w:autoSpaceDN w:val="0"/>
        <w:adjustRightInd w:val="0"/>
        <w:snapToGrid w:val="0"/>
        <w:spacing w:line="360" w:lineRule="auto"/>
        <w:ind w:left="1391" w:hanging="1391" w:hangingChars="495"/>
        <w:jc w:val="left"/>
        <w:rPr>
          <w:rFonts w:hint="eastAsia" w:ascii="宋体" w:hAnsi="宋体" w:cs="宋体"/>
          <w:b/>
          <w:kern w:val="0"/>
          <w:sz w:val="28"/>
          <w:szCs w:val="28"/>
          <w:highlight w:val="none"/>
        </w:rPr>
      </w:pPr>
    </w:p>
    <w:p>
      <w:pPr>
        <w:tabs>
          <w:tab w:val="left" w:pos="1695"/>
          <w:tab w:val="left" w:pos="3370"/>
          <w:tab w:val="left" w:pos="5555"/>
        </w:tabs>
        <w:autoSpaceDE w:val="0"/>
        <w:autoSpaceDN w:val="0"/>
        <w:adjustRightInd w:val="0"/>
        <w:snapToGrid w:val="0"/>
        <w:spacing w:line="360" w:lineRule="auto"/>
        <w:ind w:left="1391" w:hanging="1391" w:hangingChars="495"/>
        <w:jc w:val="left"/>
        <w:rPr>
          <w:rFonts w:hint="eastAsia" w:ascii="宋体" w:hAnsi="宋体" w:cs="宋体"/>
          <w:b/>
          <w:kern w:val="0"/>
          <w:sz w:val="28"/>
          <w:szCs w:val="28"/>
          <w:highlight w:val="none"/>
        </w:rPr>
      </w:pPr>
    </w:p>
    <w:p>
      <w:pPr>
        <w:tabs>
          <w:tab w:val="left" w:pos="1695"/>
          <w:tab w:val="left" w:pos="3370"/>
          <w:tab w:val="left" w:pos="5555"/>
        </w:tabs>
        <w:autoSpaceDE w:val="0"/>
        <w:autoSpaceDN w:val="0"/>
        <w:adjustRightInd w:val="0"/>
        <w:snapToGrid w:val="0"/>
        <w:spacing w:line="360" w:lineRule="auto"/>
        <w:ind w:left="1391" w:hanging="1391" w:hangingChars="495"/>
        <w:jc w:val="left"/>
        <w:rPr>
          <w:rFonts w:hint="eastAsia" w:ascii="宋体" w:hAnsi="宋体" w:cs="宋体"/>
          <w:b/>
          <w:kern w:val="0"/>
          <w:sz w:val="28"/>
          <w:szCs w:val="28"/>
          <w:highlight w:val="none"/>
        </w:rPr>
      </w:pPr>
    </w:p>
    <w:p>
      <w:pPr>
        <w:tabs>
          <w:tab w:val="left" w:pos="1695"/>
          <w:tab w:val="left" w:pos="3370"/>
          <w:tab w:val="left" w:pos="5555"/>
        </w:tabs>
        <w:autoSpaceDE w:val="0"/>
        <w:autoSpaceDN w:val="0"/>
        <w:adjustRightInd w:val="0"/>
        <w:snapToGrid w:val="0"/>
        <w:spacing w:line="360" w:lineRule="auto"/>
        <w:ind w:left="1391" w:hanging="1391" w:hangingChars="495"/>
        <w:jc w:val="left"/>
        <w:rPr>
          <w:rFonts w:hint="eastAsia" w:ascii="宋体" w:hAnsi="宋体" w:cs="宋体"/>
          <w:b/>
          <w:kern w:val="0"/>
          <w:sz w:val="28"/>
          <w:szCs w:val="28"/>
          <w:highlight w:val="none"/>
        </w:rPr>
      </w:pPr>
    </w:p>
    <w:p>
      <w:pPr>
        <w:tabs>
          <w:tab w:val="left" w:pos="1695"/>
          <w:tab w:val="left" w:pos="3370"/>
          <w:tab w:val="left" w:pos="5555"/>
        </w:tabs>
        <w:autoSpaceDE w:val="0"/>
        <w:autoSpaceDN w:val="0"/>
        <w:adjustRightInd w:val="0"/>
        <w:snapToGrid w:val="0"/>
        <w:spacing w:line="360" w:lineRule="auto"/>
        <w:ind w:left="1391" w:hanging="1391" w:hangingChars="495"/>
        <w:jc w:val="left"/>
        <w:rPr>
          <w:rFonts w:hint="eastAsia" w:ascii="宋体" w:hAnsi="宋体" w:cs="宋体"/>
          <w:b/>
          <w:kern w:val="0"/>
          <w:sz w:val="28"/>
          <w:szCs w:val="28"/>
          <w:highlight w:val="none"/>
        </w:rPr>
      </w:pPr>
    </w:p>
    <w:p>
      <w:pPr>
        <w:tabs>
          <w:tab w:val="left" w:pos="1695"/>
          <w:tab w:val="left" w:pos="3370"/>
          <w:tab w:val="left" w:pos="5555"/>
        </w:tabs>
        <w:autoSpaceDE w:val="0"/>
        <w:autoSpaceDN w:val="0"/>
        <w:adjustRightInd w:val="0"/>
        <w:snapToGrid w:val="0"/>
        <w:spacing w:line="360" w:lineRule="auto"/>
        <w:ind w:left="1391" w:hanging="1391" w:hangingChars="495"/>
        <w:jc w:val="left"/>
        <w:rPr>
          <w:rFonts w:hint="eastAsia" w:ascii="宋体" w:hAnsi="宋体" w:cs="宋体"/>
          <w:b/>
          <w:kern w:val="0"/>
          <w:sz w:val="28"/>
          <w:szCs w:val="28"/>
          <w:highlight w:val="none"/>
        </w:rPr>
      </w:pPr>
    </w:p>
    <w:p>
      <w:pPr>
        <w:autoSpaceDE w:val="0"/>
        <w:autoSpaceDN w:val="0"/>
        <w:adjustRightInd w:val="0"/>
        <w:snapToGrid w:val="0"/>
        <w:spacing w:line="312" w:lineRule="auto"/>
        <w:jc w:val="center"/>
        <w:rPr>
          <w:rFonts w:hint="eastAsia" w:ascii="宋体" w:hAnsi="宋体" w:cs="宋体"/>
          <w:b/>
          <w:kern w:val="0"/>
          <w:sz w:val="84"/>
          <w:szCs w:val="44"/>
          <w:highlight w:val="none"/>
        </w:rPr>
      </w:pPr>
      <w:r>
        <w:rPr>
          <w:rFonts w:hint="eastAsia" w:ascii="宋体" w:hAnsi="宋体" w:cs="宋体"/>
          <w:kern w:val="0"/>
          <w:sz w:val="20"/>
          <w:szCs w:val="20"/>
          <w:highlight w:val="none"/>
        </w:rPr>
        <w:drawing>
          <wp:anchor distT="0" distB="0" distL="114300" distR="114300" simplePos="0" relativeHeight="251659264" behindDoc="0" locked="0" layoutInCell="1" allowOverlap="1">
            <wp:simplePos x="0" y="0"/>
            <wp:positionH relativeFrom="column">
              <wp:posOffset>2145665</wp:posOffset>
            </wp:positionH>
            <wp:positionV relativeFrom="paragraph">
              <wp:posOffset>845185</wp:posOffset>
            </wp:positionV>
            <wp:extent cx="1608455" cy="973455"/>
            <wp:effectExtent l="0" t="0" r="10795" b="17145"/>
            <wp:wrapNone/>
            <wp:docPr id="4" name="图片 3" descr="招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招采LOGO"/>
                    <pic:cNvPicPr>
                      <a:picLocks noChangeAspect="1"/>
                    </pic:cNvPicPr>
                  </pic:nvPicPr>
                  <pic:blipFill>
                    <a:blip r:embed="rId7"/>
                    <a:stretch>
                      <a:fillRect/>
                    </a:stretch>
                  </pic:blipFill>
                  <pic:spPr>
                    <a:xfrm>
                      <a:off x="0" y="0"/>
                      <a:ext cx="1608455" cy="973455"/>
                    </a:xfrm>
                    <a:prstGeom prst="rect">
                      <a:avLst/>
                    </a:prstGeom>
                    <a:noFill/>
                    <a:ln>
                      <a:noFill/>
                    </a:ln>
                  </pic:spPr>
                </pic:pic>
              </a:graphicData>
            </a:graphic>
          </wp:anchor>
        </w:drawing>
      </w:r>
      <w:r>
        <w:rPr>
          <w:rFonts w:hint="eastAsia" w:ascii="宋体" w:hAnsi="宋体" w:cs="宋体"/>
          <w:b/>
          <w:kern w:val="0"/>
          <w:sz w:val="84"/>
          <w:szCs w:val="44"/>
          <w:highlight w:val="none"/>
        </w:rPr>
        <w:t>招 标 文 件</w:t>
      </w:r>
    </w:p>
    <w:p>
      <w:pPr>
        <w:autoSpaceDE w:val="0"/>
        <w:autoSpaceDN w:val="0"/>
        <w:adjustRightInd w:val="0"/>
        <w:spacing w:before="120" w:beforeLines="50" w:after="120" w:afterLines="50" w:line="360" w:lineRule="auto"/>
        <w:ind w:left="105" w:leftChars="50" w:right="105" w:rightChars="50"/>
        <w:jc w:val="center"/>
        <w:rPr>
          <w:rFonts w:hint="eastAsia" w:ascii="宋体" w:hAnsi="宋体" w:cs="宋体"/>
          <w:w w:val="99"/>
          <w:kern w:val="0"/>
          <w:sz w:val="44"/>
          <w:szCs w:val="44"/>
          <w:highlight w:val="none"/>
        </w:rPr>
      </w:pPr>
    </w:p>
    <w:p>
      <w:pPr>
        <w:autoSpaceDE w:val="0"/>
        <w:autoSpaceDN w:val="0"/>
        <w:adjustRightInd w:val="0"/>
        <w:spacing w:before="120" w:beforeLines="50" w:after="120" w:afterLines="50" w:line="360" w:lineRule="auto"/>
        <w:ind w:left="105" w:leftChars="50" w:right="105" w:rightChars="50"/>
        <w:jc w:val="center"/>
        <w:rPr>
          <w:rFonts w:hint="eastAsia" w:ascii="宋体" w:hAnsi="宋体" w:cs="宋体"/>
          <w:w w:val="99"/>
          <w:kern w:val="0"/>
          <w:sz w:val="44"/>
          <w:szCs w:val="44"/>
          <w:highlight w:val="none"/>
        </w:rPr>
      </w:pPr>
    </w:p>
    <w:p>
      <w:pPr>
        <w:tabs>
          <w:tab w:val="left" w:pos="6219"/>
        </w:tabs>
        <w:autoSpaceDE w:val="0"/>
        <w:autoSpaceDN w:val="0"/>
        <w:adjustRightInd w:val="0"/>
        <w:snapToGrid w:val="0"/>
        <w:spacing w:line="312" w:lineRule="auto"/>
        <w:rPr>
          <w:rFonts w:hint="eastAsia" w:ascii="宋体" w:hAnsi="宋体" w:cs="宋体"/>
          <w:b/>
          <w:w w:val="99"/>
          <w:kern w:val="0"/>
          <w:sz w:val="30"/>
          <w:szCs w:val="30"/>
          <w:highlight w:val="none"/>
        </w:rPr>
      </w:pPr>
    </w:p>
    <w:p>
      <w:pPr>
        <w:tabs>
          <w:tab w:val="left" w:pos="6219"/>
        </w:tabs>
        <w:autoSpaceDE w:val="0"/>
        <w:autoSpaceDN w:val="0"/>
        <w:adjustRightInd w:val="0"/>
        <w:snapToGrid w:val="0"/>
        <w:spacing w:line="312" w:lineRule="auto"/>
        <w:ind w:left="-141" w:leftChars="-67" w:firstLine="1"/>
        <w:rPr>
          <w:rFonts w:hint="eastAsia" w:ascii="宋体" w:hAnsi="宋体" w:cs="宋体"/>
          <w:b/>
          <w:w w:val="99"/>
          <w:kern w:val="0"/>
          <w:sz w:val="30"/>
          <w:szCs w:val="30"/>
          <w:highlight w:val="none"/>
        </w:rPr>
      </w:pPr>
    </w:p>
    <w:p>
      <w:pPr>
        <w:tabs>
          <w:tab w:val="left" w:pos="6219"/>
        </w:tabs>
        <w:autoSpaceDE w:val="0"/>
        <w:autoSpaceDN w:val="0"/>
        <w:adjustRightInd w:val="0"/>
        <w:snapToGrid w:val="0"/>
        <w:spacing w:line="312" w:lineRule="auto"/>
        <w:ind w:left="-141" w:leftChars="-67" w:firstLine="1"/>
        <w:rPr>
          <w:rFonts w:hint="eastAsia" w:ascii="宋体" w:hAnsi="宋体" w:cs="宋体"/>
          <w:b/>
          <w:w w:val="99"/>
          <w:kern w:val="0"/>
          <w:sz w:val="30"/>
          <w:szCs w:val="30"/>
          <w:highlight w:val="none"/>
        </w:rPr>
      </w:pPr>
    </w:p>
    <w:p>
      <w:pPr>
        <w:tabs>
          <w:tab w:val="left" w:pos="6219"/>
        </w:tabs>
        <w:autoSpaceDE w:val="0"/>
        <w:autoSpaceDN w:val="0"/>
        <w:adjustRightInd w:val="0"/>
        <w:snapToGrid w:val="0"/>
        <w:spacing w:line="312" w:lineRule="auto"/>
        <w:ind w:left="-141" w:leftChars="-67" w:firstLine="1"/>
        <w:rPr>
          <w:rFonts w:hint="eastAsia" w:ascii="宋体" w:hAnsi="宋体" w:cs="宋体"/>
          <w:b/>
          <w:w w:val="99"/>
          <w:kern w:val="0"/>
          <w:sz w:val="30"/>
          <w:szCs w:val="30"/>
          <w:highlight w:val="none"/>
        </w:rPr>
      </w:pPr>
    </w:p>
    <w:p>
      <w:pPr>
        <w:tabs>
          <w:tab w:val="left" w:pos="6219"/>
        </w:tabs>
        <w:autoSpaceDE w:val="0"/>
        <w:autoSpaceDN w:val="0"/>
        <w:adjustRightInd w:val="0"/>
        <w:snapToGrid w:val="0"/>
        <w:spacing w:line="312" w:lineRule="auto"/>
        <w:ind w:left="-141" w:leftChars="-67" w:firstLine="1"/>
        <w:rPr>
          <w:rFonts w:hint="eastAsia" w:ascii="宋体" w:hAnsi="宋体" w:cs="宋体"/>
          <w:b/>
          <w:w w:val="99"/>
          <w:kern w:val="0"/>
          <w:sz w:val="30"/>
          <w:szCs w:val="30"/>
          <w:highlight w:val="none"/>
        </w:rPr>
      </w:pPr>
    </w:p>
    <w:p>
      <w:pPr>
        <w:tabs>
          <w:tab w:val="left" w:pos="6219"/>
        </w:tabs>
        <w:autoSpaceDE w:val="0"/>
        <w:autoSpaceDN w:val="0"/>
        <w:adjustRightInd w:val="0"/>
        <w:snapToGrid w:val="0"/>
        <w:spacing w:line="312" w:lineRule="auto"/>
        <w:ind w:left="-141" w:leftChars="-67" w:firstLine="1"/>
        <w:rPr>
          <w:rFonts w:hint="eastAsia" w:ascii="宋体" w:hAnsi="宋体" w:cs="宋体"/>
          <w:b/>
          <w:w w:val="99"/>
          <w:kern w:val="0"/>
          <w:sz w:val="30"/>
          <w:szCs w:val="30"/>
          <w:highlight w:val="none"/>
        </w:rPr>
      </w:pPr>
    </w:p>
    <w:p>
      <w:pPr>
        <w:tabs>
          <w:tab w:val="left" w:pos="6219"/>
        </w:tabs>
        <w:autoSpaceDE w:val="0"/>
        <w:autoSpaceDN w:val="0"/>
        <w:adjustRightInd w:val="0"/>
        <w:snapToGrid w:val="0"/>
        <w:spacing w:line="312" w:lineRule="auto"/>
        <w:ind w:left="-141" w:leftChars="-67" w:firstLine="1"/>
        <w:rPr>
          <w:rFonts w:hint="eastAsia" w:ascii="宋体" w:hAnsi="宋体" w:cs="宋体"/>
          <w:b/>
          <w:w w:val="99"/>
          <w:kern w:val="0"/>
          <w:sz w:val="30"/>
          <w:szCs w:val="30"/>
          <w:highlight w:val="none"/>
        </w:rPr>
      </w:pPr>
    </w:p>
    <w:p>
      <w:pPr>
        <w:tabs>
          <w:tab w:val="left" w:pos="6219"/>
        </w:tabs>
        <w:autoSpaceDE w:val="0"/>
        <w:autoSpaceDN w:val="0"/>
        <w:adjustRightInd w:val="0"/>
        <w:snapToGrid w:val="0"/>
        <w:spacing w:line="312" w:lineRule="auto"/>
        <w:ind w:left="-141" w:leftChars="-67" w:firstLine="1"/>
        <w:rPr>
          <w:rFonts w:hint="eastAsia" w:ascii="宋体" w:hAnsi="宋体" w:cs="宋体"/>
          <w:b/>
          <w:w w:val="99"/>
          <w:kern w:val="0"/>
          <w:sz w:val="30"/>
          <w:szCs w:val="30"/>
          <w:highlight w:val="none"/>
        </w:rPr>
      </w:pPr>
    </w:p>
    <w:p>
      <w:pPr>
        <w:tabs>
          <w:tab w:val="left" w:pos="6219"/>
        </w:tabs>
        <w:autoSpaceDE w:val="0"/>
        <w:autoSpaceDN w:val="0"/>
        <w:adjustRightInd w:val="0"/>
        <w:snapToGrid w:val="0"/>
        <w:spacing w:line="312" w:lineRule="auto"/>
        <w:ind w:left="-141" w:leftChars="-67" w:firstLine="1"/>
        <w:rPr>
          <w:rFonts w:hint="eastAsia" w:ascii="宋体" w:hAnsi="宋体" w:cs="宋体"/>
          <w:b/>
          <w:w w:val="99"/>
          <w:kern w:val="0"/>
          <w:sz w:val="30"/>
          <w:szCs w:val="30"/>
          <w:highlight w:val="none"/>
        </w:rPr>
      </w:pPr>
    </w:p>
    <w:p>
      <w:pPr>
        <w:tabs>
          <w:tab w:val="left" w:pos="6219"/>
        </w:tabs>
        <w:autoSpaceDE w:val="0"/>
        <w:autoSpaceDN w:val="0"/>
        <w:adjustRightInd w:val="0"/>
        <w:snapToGrid w:val="0"/>
        <w:spacing w:line="312" w:lineRule="auto"/>
        <w:ind w:left="-141" w:leftChars="-67" w:firstLine="1"/>
        <w:rPr>
          <w:rFonts w:hint="eastAsia" w:ascii="宋体" w:hAnsi="宋体" w:cs="宋体"/>
          <w:b/>
          <w:w w:val="99"/>
          <w:kern w:val="0"/>
          <w:sz w:val="30"/>
          <w:szCs w:val="30"/>
          <w:highlight w:val="none"/>
        </w:rPr>
      </w:pPr>
      <w:r>
        <w:rPr>
          <w:rFonts w:hint="eastAsia" w:ascii="宋体" w:hAnsi="宋体" w:cs="宋体"/>
          <w:b/>
          <w:w w:val="99"/>
          <w:kern w:val="0"/>
          <w:sz w:val="30"/>
          <w:szCs w:val="30"/>
          <w:highlight w:val="none"/>
        </w:rPr>
        <w:t>招　　标　 人：</w:t>
      </w:r>
      <w:r>
        <w:rPr>
          <w:rFonts w:hint="eastAsia" w:ascii="宋体" w:hAnsi="宋体" w:cs="宋体"/>
          <w:b/>
          <w:kern w:val="0"/>
          <w:sz w:val="30"/>
          <w:szCs w:val="30"/>
          <w:highlight w:val="none"/>
          <w:u w:val="single"/>
        </w:rPr>
        <w:t>重庆机场集团有限公司</w:t>
      </w:r>
      <w:r>
        <w:rPr>
          <w:rFonts w:hint="eastAsia" w:ascii="宋体" w:hAnsi="宋体" w:cs="宋体"/>
          <w:b/>
          <w:w w:val="99"/>
          <w:kern w:val="0"/>
          <w:sz w:val="30"/>
          <w:szCs w:val="30"/>
          <w:highlight w:val="none"/>
        </w:rPr>
        <w:t>（盖单位公章）</w:t>
      </w:r>
    </w:p>
    <w:p>
      <w:pPr>
        <w:tabs>
          <w:tab w:val="left" w:pos="6252"/>
        </w:tabs>
        <w:autoSpaceDE w:val="0"/>
        <w:autoSpaceDN w:val="0"/>
        <w:adjustRightInd w:val="0"/>
        <w:snapToGrid w:val="0"/>
        <w:spacing w:line="312" w:lineRule="auto"/>
        <w:ind w:left="8" w:leftChars="-67" w:hanging="149" w:hangingChars="47"/>
        <w:rPr>
          <w:rFonts w:hint="eastAsia" w:ascii="宋体" w:hAnsi="宋体" w:cs="宋体"/>
          <w:b/>
          <w:spacing w:val="-20"/>
          <w:w w:val="99"/>
          <w:kern w:val="0"/>
          <w:sz w:val="30"/>
          <w:szCs w:val="30"/>
          <w:highlight w:val="none"/>
        </w:rPr>
      </w:pPr>
      <w:r>
        <w:rPr>
          <w:rFonts w:hint="eastAsia" w:ascii="宋体" w:hAnsi="宋体" w:cs="宋体"/>
          <w:b/>
          <w:spacing w:val="8"/>
          <w:kern w:val="0"/>
          <w:sz w:val="30"/>
          <w:szCs w:val="30"/>
          <w:highlight w:val="none"/>
        </w:rPr>
        <w:t>招标代理机构：</w:t>
      </w:r>
      <w:r>
        <w:rPr>
          <w:rFonts w:hint="eastAsia" w:ascii="宋体" w:hAnsi="宋体" w:cs="宋体"/>
          <w:b/>
          <w:spacing w:val="-20"/>
          <w:kern w:val="0"/>
          <w:sz w:val="30"/>
          <w:szCs w:val="30"/>
          <w:highlight w:val="none"/>
          <w:u w:val="single"/>
          <w:lang w:eastAsia="zh-CN"/>
        </w:rPr>
        <w:t>重庆国际投资咨询集团有限公司</w:t>
      </w:r>
      <w:r>
        <w:rPr>
          <w:rFonts w:hint="eastAsia" w:ascii="宋体" w:hAnsi="宋体" w:cs="宋体"/>
          <w:b/>
          <w:spacing w:val="-20"/>
          <w:w w:val="99"/>
          <w:kern w:val="0"/>
          <w:sz w:val="30"/>
          <w:szCs w:val="30"/>
          <w:highlight w:val="none"/>
        </w:rPr>
        <w:t>（盖单位公章）</w:t>
      </w:r>
    </w:p>
    <w:p>
      <w:pPr>
        <w:tabs>
          <w:tab w:val="left" w:pos="6252"/>
        </w:tabs>
        <w:autoSpaceDE w:val="0"/>
        <w:autoSpaceDN w:val="0"/>
        <w:adjustRightInd w:val="0"/>
        <w:snapToGrid w:val="0"/>
        <w:spacing w:line="312" w:lineRule="auto"/>
        <w:ind w:left="8" w:leftChars="-67" w:hanging="149" w:hangingChars="47"/>
        <w:jc w:val="center"/>
        <w:rPr>
          <w:rFonts w:hint="eastAsia" w:ascii="宋体" w:hAnsi="宋体" w:cs="宋体"/>
          <w:b/>
          <w:spacing w:val="8"/>
          <w:kern w:val="0"/>
          <w:sz w:val="30"/>
          <w:szCs w:val="30"/>
          <w:highlight w:val="none"/>
        </w:rPr>
      </w:pPr>
      <w:r>
        <w:rPr>
          <w:rFonts w:hint="eastAsia" w:ascii="宋体" w:hAnsi="宋体" w:cs="宋体"/>
          <w:b/>
          <w:spacing w:val="8"/>
          <w:kern w:val="0"/>
          <w:sz w:val="30"/>
          <w:szCs w:val="30"/>
          <w:highlight w:val="none"/>
        </w:rPr>
        <w:t>2022年</w:t>
      </w:r>
      <w:r>
        <w:rPr>
          <w:rFonts w:hint="eastAsia" w:ascii="宋体" w:hAnsi="宋体" w:cs="宋体"/>
          <w:b/>
          <w:spacing w:val="8"/>
          <w:kern w:val="0"/>
          <w:sz w:val="30"/>
          <w:szCs w:val="30"/>
          <w:highlight w:val="none"/>
          <w:lang w:val="en-US" w:eastAsia="zh-CN"/>
        </w:rPr>
        <w:t>8</w:t>
      </w:r>
      <w:r>
        <w:rPr>
          <w:rFonts w:hint="eastAsia" w:ascii="宋体" w:hAnsi="宋体" w:cs="宋体"/>
          <w:b/>
          <w:spacing w:val="8"/>
          <w:kern w:val="0"/>
          <w:sz w:val="30"/>
          <w:szCs w:val="30"/>
          <w:highlight w:val="none"/>
        </w:rPr>
        <w:t>月</w:t>
      </w:r>
    </w:p>
    <w:p>
      <w:pPr>
        <w:tabs>
          <w:tab w:val="left" w:pos="6252"/>
        </w:tabs>
        <w:autoSpaceDE w:val="0"/>
        <w:autoSpaceDN w:val="0"/>
        <w:adjustRightInd w:val="0"/>
        <w:snapToGrid w:val="0"/>
        <w:spacing w:line="312" w:lineRule="auto"/>
        <w:ind w:left="8" w:leftChars="-67" w:hanging="149" w:hangingChars="47"/>
        <w:rPr>
          <w:rFonts w:hint="eastAsia" w:ascii="宋体" w:hAnsi="宋体" w:cs="宋体"/>
          <w:b/>
          <w:spacing w:val="8"/>
          <w:kern w:val="0"/>
          <w:sz w:val="30"/>
          <w:szCs w:val="30"/>
          <w:highlight w:val="none"/>
        </w:rPr>
        <w:sectPr>
          <w:headerReference r:id="rId3" w:type="default"/>
          <w:pgSz w:w="11850" w:h="16783"/>
          <w:pgMar w:top="1134" w:right="1134" w:bottom="1134" w:left="1417" w:header="850" w:footer="992" w:gutter="0"/>
          <w:pgNumType w:fmt="decimal" w:start="1"/>
          <w:cols w:space="720" w:num="1"/>
        </w:sectPr>
      </w:pPr>
    </w:p>
    <w:p>
      <w:pPr>
        <w:tabs>
          <w:tab w:val="left" w:pos="4500"/>
        </w:tabs>
        <w:autoSpaceDE w:val="0"/>
        <w:autoSpaceDN w:val="0"/>
        <w:adjustRightInd w:val="0"/>
        <w:spacing w:before="156" w:beforeLines="50" w:after="156" w:afterLines="50" w:line="360" w:lineRule="auto"/>
        <w:ind w:left="105" w:leftChars="50" w:right="105" w:rightChars="50"/>
        <w:jc w:val="center"/>
        <w:rPr>
          <w:rFonts w:hint="eastAsia" w:ascii="宋体" w:hAnsi="宋体" w:cs="宋体"/>
          <w:b/>
          <w:bCs/>
          <w:kern w:val="0"/>
          <w:sz w:val="28"/>
          <w:szCs w:val="28"/>
          <w:highlight w:val="none"/>
        </w:rPr>
      </w:pPr>
      <w:r>
        <w:rPr>
          <w:rFonts w:hint="eastAsia" w:ascii="宋体" w:hAnsi="宋体" w:cs="宋体"/>
          <w:b/>
          <w:bCs/>
          <w:kern w:val="0"/>
          <w:position w:val="-1"/>
          <w:sz w:val="28"/>
          <w:szCs w:val="28"/>
          <w:highlight w:val="none"/>
        </w:rPr>
        <w:t>目  录</w:t>
      </w:r>
    </w:p>
    <w:p>
      <w:pPr>
        <w:pStyle w:val="11"/>
        <w:tabs>
          <w:tab w:val="right" w:leader="dot" w:pos="9689"/>
        </w:tabs>
        <w:adjustRightInd w:val="0"/>
        <w:snapToGrid w:val="0"/>
        <w:spacing w:line="360" w:lineRule="auto"/>
        <w:jc w:val="left"/>
        <w:rPr>
          <w:rFonts w:hint="eastAsia" w:ascii="宋体" w:hAnsi="宋体" w:cs="宋体"/>
          <w:sz w:val="24"/>
          <w:szCs w:val="24"/>
          <w:highlight w:val="none"/>
        </w:rPr>
      </w:pPr>
      <w:r>
        <w:rPr>
          <w:rFonts w:hint="eastAsia" w:ascii="宋体" w:hAnsi="宋体" w:cs="宋体"/>
          <w:kern w:val="0"/>
          <w:sz w:val="24"/>
          <w:szCs w:val="24"/>
          <w:highlight w:val="none"/>
        </w:rPr>
        <w:fldChar w:fldCharType="begin"/>
      </w:r>
      <w:r>
        <w:rPr>
          <w:rFonts w:hint="eastAsia" w:ascii="宋体" w:hAnsi="宋体" w:cs="宋体"/>
          <w:kern w:val="0"/>
          <w:sz w:val="24"/>
          <w:szCs w:val="24"/>
          <w:highlight w:val="none"/>
        </w:rPr>
        <w:instrText xml:space="preserve">TOC \o "1-2" \h \u </w:instrText>
      </w:r>
      <w:r>
        <w:rPr>
          <w:rFonts w:hint="eastAsia" w:ascii="宋体" w:hAnsi="宋体" w:cs="宋体"/>
          <w:kern w:val="0"/>
          <w:sz w:val="24"/>
          <w:szCs w:val="24"/>
          <w:highlight w:val="none"/>
        </w:rPr>
        <w:fldChar w:fldCharType="separate"/>
      </w:r>
      <w:r>
        <w:rPr>
          <w:rFonts w:hint="eastAsia" w:ascii="宋体" w:hAnsi="宋体" w:cs="宋体"/>
          <w:kern w:val="0"/>
          <w:sz w:val="24"/>
          <w:szCs w:val="24"/>
          <w:highlight w:val="none"/>
        </w:rPr>
        <w:fldChar w:fldCharType="begin"/>
      </w:r>
      <w:r>
        <w:rPr>
          <w:rFonts w:hint="eastAsia" w:ascii="宋体" w:hAnsi="宋体" w:cs="宋体"/>
          <w:kern w:val="0"/>
          <w:sz w:val="24"/>
          <w:szCs w:val="24"/>
          <w:highlight w:val="none"/>
        </w:rPr>
        <w:instrText xml:space="preserve"> HYPERLINK \l _Toc11696 </w:instrText>
      </w:r>
      <w:r>
        <w:rPr>
          <w:rFonts w:hint="eastAsia" w:ascii="宋体" w:hAnsi="宋体" w:cs="宋体"/>
          <w:kern w:val="0"/>
          <w:sz w:val="24"/>
          <w:szCs w:val="24"/>
          <w:highlight w:val="none"/>
        </w:rPr>
        <w:fldChar w:fldCharType="separate"/>
      </w:r>
      <w:r>
        <w:rPr>
          <w:rFonts w:hint="eastAsia" w:ascii="宋体" w:hAnsi="宋体" w:cs="宋体"/>
          <w:sz w:val="24"/>
          <w:szCs w:val="24"/>
          <w:highlight w:val="none"/>
        </w:rPr>
        <w:t>第一章  招标公告</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_Toc11696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2</w:t>
      </w:r>
      <w:r>
        <w:rPr>
          <w:rFonts w:hint="eastAsia" w:ascii="宋体" w:hAnsi="宋体" w:cs="宋体"/>
          <w:sz w:val="24"/>
          <w:szCs w:val="24"/>
          <w:highlight w:val="none"/>
        </w:rPr>
        <w:fldChar w:fldCharType="end"/>
      </w:r>
      <w:r>
        <w:rPr>
          <w:rFonts w:hint="eastAsia" w:ascii="宋体" w:hAnsi="宋体" w:cs="宋体"/>
          <w:kern w:val="0"/>
          <w:sz w:val="24"/>
          <w:szCs w:val="24"/>
          <w:highlight w:val="none"/>
        </w:rPr>
        <w:fldChar w:fldCharType="end"/>
      </w:r>
    </w:p>
    <w:p>
      <w:pPr>
        <w:pStyle w:val="11"/>
        <w:tabs>
          <w:tab w:val="right" w:leader="dot" w:pos="9689"/>
        </w:tabs>
        <w:adjustRightInd w:val="0"/>
        <w:snapToGrid w:val="0"/>
        <w:spacing w:line="360" w:lineRule="auto"/>
        <w:jc w:val="left"/>
        <w:rPr>
          <w:rFonts w:hint="eastAsia" w:ascii="宋体" w:hAnsi="宋体" w:cs="宋体"/>
          <w:sz w:val="24"/>
          <w:szCs w:val="24"/>
          <w:highlight w:val="none"/>
        </w:rPr>
      </w:pPr>
      <w:r>
        <w:rPr>
          <w:rFonts w:hint="eastAsia" w:ascii="宋体" w:hAnsi="宋体" w:cs="宋体"/>
          <w:kern w:val="0"/>
          <w:sz w:val="24"/>
          <w:szCs w:val="24"/>
          <w:highlight w:val="none"/>
        </w:rPr>
        <w:fldChar w:fldCharType="begin"/>
      </w:r>
      <w:r>
        <w:rPr>
          <w:rFonts w:hint="eastAsia" w:ascii="宋体" w:hAnsi="宋体" w:cs="宋体"/>
          <w:kern w:val="0"/>
          <w:sz w:val="24"/>
          <w:szCs w:val="24"/>
          <w:highlight w:val="none"/>
        </w:rPr>
        <w:instrText xml:space="preserve"> HYPERLINK \l _Toc4303 </w:instrText>
      </w:r>
      <w:r>
        <w:rPr>
          <w:rFonts w:hint="eastAsia" w:ascii="宋体" w:hAnsi="宋体" w:cs="宋体"/>
          <w:kern w:val="0"/>
          <w:sz w:val="24"/>
          <w:szCs w:val="24"/>
          <w:highlight w:val="none"/>
        </w:rPr>
        <w:fldChar w:fldCharType="separate"/>
      </w:r>
      <w:r>
        <w:rPr>
          <w:rFonts w:hint="eastAsia" w:ascii="宋体" w:hAnsi="宋体" w:cs="宋体"/>
          <w:sz w:val="24"/>
          <w:szCs w:val="24"/>
          <w:highlight w:val="none"/>
        </w:rPr>
        <w:t>第二章  投标人须知</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_Toc4303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5</w:t>
      </w:r>
      <w:r>
        <w:rPr>
          <w:rFonts w:hint="eastAsia" w:ascii="宋体" w:hAnsi="宋体" w:cs="宋体"/>
          <w:sz w:val="24"/>
          <w:szCs w:val="24"/>
          <w:highlight w:val="none"/>
        </w:rPr>
        <w:fldChar w:fldCharType="end"/>
      </w:r>
      <w:r>
        <w:rPr>
          <w:rFonts w:hint="eastAsia" w:ascii="宋体" w:hAnsi="宋体" w:cs="宋体"/>
          <w:kern w:val="0"/>
          <w:sz w:val="24"/>
          <w:szCs w:val="24"/>
          <w:highlight w:val="none"/>
        </w:rPr>
        <w:fldChar w:fldCharType="end"/>
      </w:r>
    </w:p>
    <w:p>
      <w:pPr>
        <w:pStyle w:val="12"/>
        <w:tabs>
          <w:tab w:val="right" w:leader="dot" w:pos="9689"/>
        </w:tabs>
        <w:adjustRightInd w:val="0"/>
        <w:snapToGrid w:val="0"/>
        <w:spacing w:line="360" w:lineRule="auto"/>
        <w:ind w:left="0"/>
        <w:jc w:val="left"/>
        <w:rPr>
          <w:rFonts w:hint="eastAsia" w:ascii="宋体" w:hAnsi="宋体" w:cs="宋体"/>
          <w:sz w:val="24"/>
          <w:szCs w:val="24"/>
          <w:highlight w:val="none"/>
        </w:rPr>
      </w:pPr>
      <w:r>
        <w:rPr>
          <w:rFonts w:hint="eastAsia" w:ascii="宋体" w:hAnsi="宋体" w:cs="宋体"/>
          <w:kern w:val="0"/>
          <w:sz w:val="24"/>
          <w:szCs w:val="24"/>
          <w:highlight w:val="none"/>
        </w:rPr>
        <w:fldChar w:fldCharType="begin"/>
      </w:r>
      <w:r>
        <w:rPr>
          <w:rFonts w:hint="eastAsia" w:ascii="宋体" w:hAnsi="宋体" w:cs="宋体"/>
          <w:kern w:val="0"/>
          <w:sz w:val="24"/>
          <w:szCs w:val="24"/>
          <w:highlight w:val="none"/>
        </w:rPr>
        <w:instrText xml:space="preserve"> HYPERLINK \l _Toc8493 </w:instrText>
      </w:r>
      <w:r>
        <w:rPr>
          <w:rFonts w:hint="eastAsia" w:ascii="宋体" w:hAnsi="宋体" w:cs="宋体"/>
          <w:kern w:val="0"/>
          <w:sz w:val="24"/>
          <w:szCs w:val="24"/>
          <w:highlight w:val="none"/>
        </w:rPr>
        <w:fldChar w:fldCharType="separate"/>
      </w:r>
      <w:r>
        <w:rPr>
          <w:rFonts w:hint="eastAsia" w:ascii="宋体" w:hAnsi="宋体" w:cs="宋体"/>
          <w:sz w:val="24"/>
          <w:szCs w:val="24"/>
          <w:highlight w:val="none"/>
        </w:rPr>
        <w:t>投标人须知前附表</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_Toc8493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5</w:t>
      </w:r>
      <w:r>
        <w:rPr>
          <w:rFonts w:hint="eastAsia" w:ascii="宋体" w:hAnsi="宋体" w:cs="宋体"/>
          <w:sz w:val="24"/>
          <w:szCs w:val="24"/>
          <w:highlight w:val="none"/>
        </w:rPr>
        <w:fldChar w:fldCharType="end"/>
      </w:r>
      <w:r>
        <w:rPr>
          <w:rFonts w:hint="eastAsia" w:ascii="宋体" w:hAnsi="宋体" w:cs="宋体"/>
          <w:kern w:val="0"/>
          <w:sz w:val="24"/>
          <w:szCs w:val="24"/>
          <w:highlight w:val="none"/>
        </w:rPr>
        <w:fldChar w:fldCharType="end"/>
      </w:r>
    </w:p>
    <w:p>
      <w:pPr>
        <w:pStyle w:val="12"/>
        <w:tabs>
          <w:tab w:val="right" w:leader="dot" w:pos="9689"/>
        </w:tabs>
        <w:adjustRightInd w:val="0"/>
        <w:snapToGrid w:val="0"/>
        <w:spacing w:line="360" w:lineRule="auto"/>
        <w:ind w:left="0"/>
        <w:jc w:val="left"/>
        <w:rPr>
          <w:rFonts w:hint="eastAsia" w:ascii="宋体" w:hAnsi="宋体" w:cs="宋体"/>
          <w:sz w:val="24"/>
          <w:szCs w:val="24"/>
          <w:highlight w:val="none"/>
        </w:rPr>
      </w:pPr>
      <w:r>
        <w:rPr>
          <w:rFonts w:hint="eastAsia" w:ascii="宋体" w:hAnsi="宋体" w:cs="宋体"/>
          <w:kern w:val="0"/>
          <w:sz w:val="24"/>
          <w:szCs w:val="24"/>
          <w:highlight w:val="none"/>
        </w:rPr>
        <w:fldChar w:fldCharType="begin"/>
      </w:r>
      <w:r>
        <w:rPr>
          <w:rFonts w:hint="eastAsia" w:ascii="宋体" w:hAnsi="宋体" w:cs="宋体"/>
          <w:kern w:val="0"/>
          <w:sz w:val="24"/>
          <w:szCs w:val="24"/>
          <w:highlight w:val="none"/>
        </w:rPr>
        <w:instrText xml:space="preserve"> HYPERLINK \l _Toc25686 </w:instrText>
      </w:r>
      <w:r>
        <w:rPr>
          <w:rFonts w:hint="eastAsia" w:ascii="宋体" w:hAnsi="宋体" w:cs="宋体"/>
          <w:kern w:val="0"/>
          <w:sz w:val="24"/>
          <w:szCs w:val="24"/>
          <w:highlight w:val="none"/>
        </w:rPr>
        <w:fldChar w:fldCharType="separate"/>
      </w:r>
      <w:r>
        <w:rPr>
          <w:rFonts w:hint="eastAsia" w:ascii="宋体" w:hAnsi="宋体" w:cs="宋体"/>
          <w:kern w:val="0"/>
          <w:sz w:val="24"/>
          <w:szCs w:val="24"/>
          <w:highlight w:val="none"/>
        </w:rPr>
        <w:t>1. 总则</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_Toc25686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17</w:t>
      </w:r>
      <w:r>
        <w:rPr>
          <w:rFonts w:hint="eastAsia" w:ascii="宋体" w:hAnsi="宋体" w:cs="宋体"/>
          <w:sz w:val="24"/>
          <w:szCs w:val="24"/>
          <w:highlight w:val="none"/>
        </w:rPr>
        <w:fldChar w:fldCharType="end"/>
      </w:r>
      <w:r>
        <w:rPr>
          <w:rFonts w:hint="eastAsia" w:ascii="宋体" w:hAnsi="宋体" w:cs="宋体"/>
          <w:kern w:val="0"/>
          <w:sz w:val="24"/>
          <w:szCs w:val="24"/>
          <w:highlight w:val="none"/>
        </w:rPr>
        <w:fldChar w:fldCharType="end"/>
      </w:r>
    </w:p>
    <w:p>
      <w:pPr>
        <w:pStyle w:val="12"/>
        <w:tabs>
          <w:tab w:val="right" w:leader="dot" w:pos="9689"/>
        </w:tabs>
        <w:adjustRightInd w:val="0"/>
        <w:snapToGrid w:val="0"/>
        <w:spacing w:line="360" w:lineRule="auto"/>
        <w:ind w:left="0"/>
        <w:jc w:val="left"/>
        <w:rPr>
          <w:rFonts w:hint="eastAsia" w:ascii="宋体" w:hAnsi="宋体" w:cs="宋体"/>
          <w:sz w:val="24"/>
          <w:szCs w:val="24"/>
          <w:highlight w:val="none"/>
        </w:rPr>
      </w:pPr>
      <w:r>
        <w:rPr>
          <w:rFonts w:hint="eastAsia" w:ascii="宋体" w:hAnsi="宋体" w:cs="宋体"/>
          <w:kern w:val="0"/>
          <w:sz w:val="24"/>
          <w:szCs w:val="24"/>
          <w:highlight w:val="none"/>
        </w:rPr>
        <w:fldChar w:fldCharType="begin"/>
      </w:r>
      <w:r>
        <w:rPr>
          <w:rFonts w:hint="eastAsia" w:ascii="宋体" w:hAnsi="宋体" w:cs="宋体"/>
          <w:kern w:val="0"/>
          <w:sz w:val="24"/>
          <w:szCs w:val="24"/>
          <w:highlight w:val="none"/>
        </w:rPr>
        <w:instrText xml:space="preserve"> HYPERLINK \l _Toc6593 </w:instrText>
      </w:r>
      <w:r>
        <w:rPr>
          <w:rFonts w:hint="eastAsia" w:ascii="宋体" w:hAnsi="宋体" w:cs="宋体"/>
          <w:kern w:val="0"/>
          <w:sz w:val="24"/>
          <w:szCs w:val="24"/>
          <w:highlight w:val="none"/>
        </w:rPr>
        <w:fldChar w:fldCharType="separate"/>
      </w:r>
      <w:r>
        <w:rPr>
          <w:rFonts w:hint="eastAsia" w:ascii="宋体" w:hAnsi="宋体" w:cs="宋体"/>
          <w:kern w:val="0"/>
          <w:sz w:val="24"/>
          <w:szCs w:val="24"/>
          <w:highlight w:val="none"/>
        </w:rPr>
        <w:t>2. 招标文件</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_Toc6593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19</w:t>
      </w:r>
      <w:r>
        <w:rPr>
          <w:rFonts w:hint="eastAsia" w:ascii="宋体" w:hAnsi="宋体" w:cs="宋体"/>
          <w:sz w:val="24"/>
          <w:szCs w:val="24"/>
          <w:highlight w:val="none"/>
        </w:rPr>
        <w:fldChar w:fldCharType="end"/>
      </w:r>
      <w:r>
        <w:rPr>
          <w:rFonts w:hint="eastAsia" w:ascii="宋体" w:hAnsi="宋体" w:cs="宋体"/>
          <w:kern w:val="0"/>
          <w:sz w:val="24"/>
          <w:szCs w:val="24"/>
          <w:highlight w:val="none"/>
        </w:rPr>
        <w:fldChar w:fldCharType="end"/>
      </w:r>
    </w:p>
    <w:p>
      <w:pPr>
        <w:pStyle w:val="12"/>
        <w:tabs>
          <w:tab w:val="right" w:leader="dot" w:pos="9689"/>
        </w:tabs>
        <w:adjustRightInd w:val="0"/>
        <w:snapToGrid w:val="0"/>
        <w:spacing w:line="360" w:lineRule="auto"/>
        <w:ind w:left="0"/>
        <w:jc w:val="left"/>
        <w:rPr>
          <w:rFonts w:hint="eastAsia" w:ascii="宋体" w:hAnsi="宋体" w:cs="宋体"/>
          <w:sz w:val="24"/>
          <w:szCs w:val="24"/>
          <w:highlight w:val="none"/>
        </w:rPr>
      </w:pPr>
      <w:r>
        <w:rPr>
          <w:rFonts w:hint="eastAsia" w:ascii="宋体" w:hAnsi="宋体" w:cs="宋体"/>
          <w:kern w:val="0"/>
          <w:sz w:val="24"/>
          <w:szCs w:val="24"/>
          <w:highlight w:val="none"/>
        </w:rPr>
        <w:fldChar w:fldCharType="begin"/>
      </w:r>
      <w:r>
        <w:rPr>
          <w:rFonts w:hint="eastAsia" w:ascii="宋体" w:hAnsi="宋体" w:cs="宋体"/>
          <w:kern w:val="0"/>
          <w:sz w:val="24"/>
          <w:szCs w:val="24"/>
          <w:highlight w:val="none"/>
        </w:rPr>
        <w:instrText xml:space="preserve"> HYPERLINK \l _Toc10685 </w:instrText>
      </w:r>
      <w:r>
        <w:rPr>
          <w:rFonts w:hint="eastAsia" w:ascii="宋体" w:hAnsi="宋体" w:cs="宋体"/>
          <w:kern w:val="0"/>
          <w:sz w:val="24"/>
          <w:szCs w:val="24"/>
          <w:highlight w:val="none"/>
        </w:rPr>
        <w:fldChar w:fldCharType="separate"/>
      </w:r>
      <w:r>
        <w:rPr>
          <w:rFonts w:hint="eastAsia" w:ascii="宋体" w:hAnsi="宋体" w:cs="宋体"/>
          <w:kern w:val="0"/>
          <w:sz w:val="24"/>
          <w:szCs w:val="24"/>
          <w:highlight w:val="none"/>
        </w:rPr>
        <w:t>3. 投标文件</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_Toc10685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19</w:t>
      </w:r>
      <w:r>
        <w:rPr>
          <w:rFonts w:hint="eastAsia" w:ascii="宋体" w:hAnsi="宋体" w:cs="宋体"/>
          <w:sz w:val="24"/>
          <w:szCs w:val="24"/>
          <w:highlight w:val="none"/>
        </w:rPr>
        <w:fldChar w:fldCharType="end"/>
      </w:r>
      <w:r>
        <w:rPr>
          <w:rFonts w:hint="eastAsia" w:ascii="宋体" w:hAnsi="宋体" w:cs="宋体"/>
          <w:kern w:val="0"/>
          <w:sz w:val="24"/>
          <w:szCs w:val="24"/>
          <w:highlight w:val="none"/>
        </w:rPr>
        <w:fldChar w:fldCharType="end"/>
      </w:r>
    </w:p>
    <w:p>
      <w:pPr>
        <w:pStyle w:val="12"/>
        <w:tabs>
          <w:tab w:val="right" w:leader="dot" w:pos="9689"/>
        </w:tabs>
        <w:adjustRightInd w:val="0"/>
        <w:snapToGrid w:val="0"/>
        <w:spacing w:line="360" w:lineRule="auto"/>
        <w:ind w:left="0"/>
        <w:jc w:val="left"/>
        <w:rPr>
          <w:rFonts w:hint="eastAsia" w:ascii="宋体" w:hAnsi="宋体" w:cs="宋体"/>
          <w:sz w:val="24"/>
          <w:szCs w:val="24"/>
          <w:highlight w:val="none"/>
        </w:rPr>
      </w:pPr>
      <w:r>
        <w:rPr>
          <w:rFonts w:hint="eastAsia" w:ascii="宋体" w:hAnsi="宋体" w:cs="宋体"/>
          <w:kern w:val="0"/>
          <w:sz w:val="24"/>
          <w:szCs w:val="24"/>
          <w:highlight w:val="none"/>
        </w:rPr>
        <w:fldChar w:fldCharType="begin"/>
      </w:r>
      <w:r>
        <w:rPr>
          <w:rFonts w:hint="eastAsia" w:ascii="宋体" w:hAnsi="宋体" w:cs="宋体"/>
          <w:kern w:val="0"/>
          <w:sz w:val="24"/>
          <w:szCs w:val="24"/>
          <w:highlight w:val="none"/>
        </w:rPr>
        <w:instrText xml:space="preserve"> HYPERLINK \l _Toc8772 </w:instrText>
      </w:r>
      <w:r>
        <w:rPr>
          <w:rFonts w:hint="eastAsia" w:ascii="宋体" w:hAnsi="宋体" w:cs="宋体"/>
          <w:kern w:val="0"/>
          <w:sz w:val="24"/>
          <w:szCs w:val="24"/>
          <w:highlight w:val="none"/>
        </w:rPr>
        <w:fldChar w:fldCharType="separate"/>
      </w:r>
      <w:r>
        <w:rPr>
          <w:rFonts w:hint="eastAsia" w:ascii="宋体" w:hAnsi="宋体" w:cs="宋体"/>
          <w:kern w:val="0"/>
          <w:sz w:val="24"/>
          <w:szCs w:val="24"/>
          <w:highlight w:val="none"/>
        </w:rPr>
        <w:t>4. 投标</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_Toc8772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21</w:t>
      </w:r>
      <w:r>
        <w:rPr>
          <w:rFonts w:hint="eastAsia" w:ascii="宋体" w:hAnsi="宋体" w:cs="宋体"/>
          <w:sz w:val="24"/>
          <w:szCs w:val="24"/>
          <w:highlight w:val="none"/>
        </w:rPr>
        <w:fldChar w:fldCharType="end"/>
      </w:r>
      <w:r>
        <w:rPr>
          <w:rFonts w:hint="eastAsia" w:ascii="宋体" w:hAnsi="宋体" w:cs="宋体"/>
          <w:kern w:val="0"/>
          <w:sz w:val="24"/>
          <w:szCs w:val="24"/>
          <w:highlight w:val="none"/>
        </w:rPr>
        <w:fldChar w:fldCharType="end"/>
      </w:r>
    </w:p>
    <w:p>
      <w:pPr>
        <w:pStyle w:val="12"/>
        <w:tabs>
          <w:tab w:val="right" w:leader="dot" w:pos="9689"/>
        </w:tabs>
        <w:adjustRightInd w:val="0"/>
        <w:snapToGrid w:val="0"/>
        <w:spacing w:line="360" w:lineRule="auto"/>
        <w:ind w:left="0"/>
        <w:jc w:val="left"/>
        <w:rPr>
          <w:rFonts w:hint="eastAsia" w:ascii="宋体" w:hAnsi="宋体" w:cs="宋体"/>
          <w:sz w:val="24"/>
          <w:szCs w:val="24"/>
          <w:highlight w:val="none"/>
        </w:rPr>
      </w:pPr>
      <w:r>
        <w:rPr>
          <w:rFonts w:hint="eastAsia" w:ascii="宋体" w:hAnsi="宋体" w:cs="宋体"/>
          <w:kern w:val="0"/>
          <w:sz w:val="24"/>
          <w:szCs w:val="24"/>
          <w:highlight w:val="none"/>
        </w:rPr>
        <w:fldChar w:fldCharType="begin"/>
      </w:r>
      <w:r>
        <w:rPr>
          <w:rFonts w:hint="eastAsia" w:ascii="宋体" w:hAnsi="宋体" w:cs="宋体"/>
          <w:kern w:val="0"/>
          <w:sz w:val="24"/>
          <w:szCs w:val="24"/>
          <w:highlight w:val="none"/>
        </w:rPr>
        <w:instrText xml:space="preserve"> HYPERLINK \l _Toc21423 </w:instrText>
      </w:r>
      <w:r>
        <w:rPr>
          <w:rFonts w:hint="eastAsia" w:ascii="宋体" w:hAnsi="宋体" w:cs="宋体"/>
          <w:kern w:val="0"/>
          <w:sz w:val="24"/>
          <w:szCs w:val="24"/>
          <w:highlight w:val="none"/>
        </w:rPr>
        <w:fldChar w:fldCharType="separate"/>
      </w:r>
      <w:r>
        <w:rPr>
          <w:rFonts w:hint="eastAsia" w:ascii="宋体" w:hAnsi="宋体" w:cs="宋体"/>
          <w:kern w:val="0"/>
          <w:sz w:val="24"/>
          <w:szCs w:val="24"/>
          <w:highlight w:val="none"/>
        </w:rPr>
        <w:t>5. 开标</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_Toc21423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22</w:t>
      </w:r>
      <w:r>
        <w:rPr>
          <w:rFonts w:hint="eastAsia" w:ascii="宋体" w:hAnsi="宋体" w:cs="宋体"/>
          <w:sz w:val="24"/>
          <w:szCs w:val="24"/>
          <w:highlight w:val="none"/>
        </w:rPr>
        <w:fldChar w:fldCharType="end"/>
      </w:r>
      <w:r>
        <w:rPr>
          <w:rFonts w:hint="eastAsia" w:ascii="宋体" w:hAnsi="宋体" w:cs="宋体"/>
          <w:kern w:val="0"/>
          <w:sz w:val="24"/>
          <w:szCs w:val="24"/>
          <w:highlight w:val="none"/>
        </w:rPr>
        <w:fldChar w:fldCharType="end"/>
      </w:r>
    </w:p>
    <w:p>
      <w:pPr>
        <w:pStyle w:val="12"/>
        <w:tabs>
          <w:tab w:val="right" w:leader="dot" w:pos="9689"/>
        </w:tabs>
        <w:adjustRightInd w:val="0"/>
        <w:snapToGrid w:val="0"/>
        <w:spacing w:line="360" w:lineRule="auto"/>
        <w:ind w:left="0"/>
        <w:jc w:val="left"/>
        <w:rPr>
          <w:rFonts w:hint="eastAsia" w:ascii="宋体" w:hAnsi="宋体" w:cs="宋体"/>
          <w:sz w:val="24"/>
          <w:szCs w:val="24"/>
          <w:highlight w:val="none"/>
        </w:rPr>
      </w:pPr>
      <w:r>
        <w:rPr>
          <w:rFonts w:hint="eastAsia" w:ascii="宋体" w:hAnsi="宋体" w:cs="宋体"/>
          <w:kern w:val="0"/>
          <w:sz w:val="24"/>
          <w:szCs w:val="24"/>
          <w:highlight w:val="none"/>
        </w:rPr>
        <w:fldChar w:fldCharType="begin"/>
      </w:r>
      <w:r>
        <w:rPr>
          <w:rFonts w:hint="eastAsia" w:ascii="宋体" w:hAnsi="宋体" w:cs="宋体"/>
          <w:kern w:val="0"/>
          <w:sz w:val="24"/>
          <w:szCs w:val="24"/>
          <w:highlight w:val="none"/>
        </w:rPr>
        <w:instrText xml:space="preserve"> HYPERLINK \l _Toc28954 </w:instrText>
      </w:r>
      <w:r>
        <w:rPr>
          <w:rFonts w:hint="eastAsia" w:ascii="宋体" w:hAnsi="宋体" w:cs="宋体"/>
          <w:kern w:val="0"/>
          <w:sz w:val="24"/>
          <w:szCs w:val="24"/>
          <w:highlight w:val="none"/>
        </w:rPr>
        <w:fldChar w:fldCharType="separate"/>
      </w:r>
      <w:r>
        <w:rPr>
          <w:rFonts w:hint="eastAsia" w:ascii="宋体" w:hAnsi="宋体" w:cs="宋体"/>
          <w:kern w:val="0"/>
          <w:sz w:val="24"/>
          <w:szCs w:val="24"/>
          <w:highlight w:val="none"/>
        </w:rPr>
        <w:t>6. 评标</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_Toc28954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22</w:t>
      </w:r>
      <w:r>
        <w:rPr>
          <w:rFonts w:hint="eastAsia" w:ascii="宋体" w:hAnsi="宋体" w:cs="宋体"/>
          <w:sz w:val="24"/>
          <w:szCs w:val="24"/>
          <w:highlight w:val="none"/>
        </w:rPr>
        <w:fldChar w:fldCharType="end"/>
      </w:r>
      <w:r>
        <w:rPr>
          <w:rFonts w:hint="eastAsia" w:ascii="宋体" w:hAnsi="宋体" w:cs="宋体"/>
          <w:kern w:val="0"/>
          <w:sz w:val="24"/>
          <w:szCs w:val="24"/>
          <w:highlight w:val="none"/>
        </w:rPr>
        <w:fldChar w:fldCharType="end"/>
      </w:r>
    </w:p>
    <w:p>
      <w:pPr>
        <w:pStyle w:val="12"/>
        <w:tabs>
          <w:tab w:val="right" w:leader="dot" w:pos="9689"/>
        </w:tabs>
        <w:adjustRightInd w:val="0"/>
        <w:snapToGrid w:val="0"/>
        <w:spacing w:line="360" w:lineRule="auto"/>
        <w:ind w:left="0"/>
        <w:jc w:val="left"/>
        <w:rPr>
          <w:rFonts w:hint="eastAsia" w:ascii="宋体" w:hAnsi="宋体" w:cs="宋体"/>
          <w:sz w:val="24"/>
          <w:szCs w:val="24"/>
          <w:highlight w:val="none"/>
        </w:rPr>
      </w:pPr>
      <w:r>
        <w:rPr>
          <w:rFonts w:hint="eastAsia" w:ascii="宋体" w:hAnsi="宋体" w:cs="宋体"/>
          <w:kern w:val="0"/>
          <w:sz w:val="24"/>
          <w:szCs w:val="24"/>
          <w:highlight w:val="none"/>
        </w:rPr>
        <w:fldChar w:fldCharType="begin"/>
      </w:r>
      <w:r>
        <w:rPr>
          <w:rFonts w:hint="eastAsia" w:ascii="宋体" w:hAnsi="宋体" w:cs="宋体"/>
          <w:kern w:val="0"/>
          <w:sz w:val="24"/>
          <w:szCs w:val="24"/>
          <w:highlight w:val="none"/>
        </w:rPr>
        <w:instrText xml:space="preserve"> HYPERLINK \l _Toc15299 </w:instrText>
      </w:r>
      <w:r>
        <w:rPr>
          <w:rFonts w:hint="eastAsia" w:ascii="宋体" w:hAnsi="宋体" w:cs="宋体"/>
          <w:kern w:val="0"/>
          <w:sz w:val="24"/>
          <w:szCs w:val="24"/>
          <w:highlight w:val="none"/>
        </w:rPr>
        <w:fldChar w:fldCharType="separate"/>
      </w:r>
      <w:r>
        <w:rPr>
          <w:rFonts w:hint="eastAsia" w:ascii="宋体" w:hAnsi="宋体" w:cs="宋体"/>
          <w:kern w:val="0"/>
          <w:sz w:val="24"/>
          <w:szCs w:val="24"/>
          <w:highlight w:val="none"/>
        </w:rPr>
        <w:t>7. 合同授予</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_Toc15299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22</w:t>
      </w:r>
      <w:r>
        <w:rPr>
          <w:rFonts w:hint="eastAsia" w:ascii="宋体" w:hAnsi="宋体" w:cs="宋体"/>
          <w:sz w:val="24"/>
          <w:szCs w:val="24"/>
          <w:highlight w:val="none"/>
        </w:rPr>
        <w:fldChar w:fldCharType="end"/>
      </w:r>
      <w:r>
        <w:rPr>
          <w:rFonts w:hint="eastAsia" w:ascii="宋体" w:hAnsi="宋体" w:cs="宋体"/>
          <w:kern w:val="0"/>
          <w:sz w:val="24"/>
          <w:szCs w:val="24"/>
          <w:highlight w:val="none"/>
        </w:rPr>
        <w:fldChar w:fldCharType="end"/>
      </w:r>
    </w:p>
    <w:p>
      <w:pPr>
        <w:pStyle w:val="12"/>
        <w:tabs>
          <w:tab w:val="right" w:leader="dot" w:pos="9689"/>
        </w:tabs>
        <w:adjustRightInd w:val="0"/>
        <w:snapToGrid w:val="0"/>
        <w:spacing w:line="360" w:lineRule="auto"/>
        <w:ind w:left="0"/>
        <w:jc w:val="left"/>
        <w:rPr>
          <w:rFonts w:hint="eastAsia" w:ascii="宋体" w:hAnsi="宋体" w:cs="宋体"/>
          <w:sz w:val="24"/>
          <w:szCs w:val="24"/>
          <w:highlight w:val="none"/>
        </w:rPr>
      </w:pPr>
      <w:r>
        <w:rPr>
          <w:rFonts w:hint="eastAsia" w:ascii="宋体" w:hAnsi="宋体" w:cs="宋体"/>
          <w:kern w:val="0"/>
          <w:sz w:val="24"/>
          <w:szCs w:val="24"/>
          <w:highlight w:val="none"/>
        </w:rPr>
        <w:fldChar w:fldCharType="begin"/>
      </w:r>
      <w:r>
        <w:rPr>
          <w:rFonts w:hint="eastAsia" w:ascii="宋体" w:hAnsi="宋体" w:cs="宋体"/>
          <w:kern w:val="0"/>
          <w:sz w:val="24"/>
          <w:szCs w:val="24"/>
          <w:highlight w:val="none"/>
        </w:rPr>
        <w:instrText xml:space="preserve"> HYPERLINK \l _Toc2877 </w:instrText>
      </w:r>
      <w:r>
        <w:rPr>
          <w:rFonts w:hint="eastAsia" w:ascii="宋体" w:hAnsi="宋体" w:cs="宋体"/>
          <w:kern w:val="0"/>
          <w:sz w:val="24"/>
          <w:szCs w:val="24"/>
          <w:highlight w:val="none"/>
        </w:rPr>
        <w:fldChar w:fldCharType="separate"/>
      </w:r>
      <w:r>
        <w:rPr>
          <w:rFonts w:hint="eastAsia" w:ascii="宋体" w:hAnsi="宋体" w:cs="宋体"/>
          <w:kern w:val="0"/>
          <w:sz w:val="24"/>
          <w:szCs w:val="24"/>
          <w:highlight w:val="none"/>
        </w:rPr>
        <w:t>8. 重新招标和不再招标</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_Toc2877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24</w:t>
      </w:r>
      <w:r>
        <w:rPr>
          <w:rFonts w:hint="eastAsia" w:ascii="宋体" w:hAnsi="宋体" w:cs="宋体"/>
          <w:sz w:val="24"/>
          <w:szCs w:val="24"/>
          <w:highlight w:val="none"/>
        </w:rPr>
        <w:fldChar w:fldCharType="end"/>
      </w:r>
      <w:r>
        <w:rPr>
          <w:rFonts w:hint="eastAsia" w:ascii="宋体" w:hAnsi="宋体" w:cs="宋体"/>
          <w:kern w:val="0"/>
          <w:sz w:val="24"/>
          <w:szCs w:val="24"/>
          <w:highlight w:val="none"/>
        </w:rPr>
        <w:fldChar w:fldCharType="end"/>
      </w:r>
    </w:p>
    <w:p>
      <w:pPr>
        <w:pStyle w:val="12"/>
        <w:tabs>
          <w:tab w:val="right" w:leader="dot" w:pos="9689"/>
        </w:tabs>
        <w:adjustRightInd w:val="0"/>
        <w:snapToGrid w:val="0"/>
        <w:spacing w:line="360" w:lineRule="auto"/>
        <w:ind w:left="0"/>
        <w:jc w:val="left"/>
        <w:rPr>
          <w:rFonts w:hint="eastAsia" w:ascii="宋体" w:hAnsi="宋体" w:cs="宋体"/>
          <w:sz w:val="24"/>
          <w:szCs w:val="24"/>
          <w:highlight w:val="none"/>
        </w:rPr>
      </w:pPr>
      <w:r>
        <w:rPr>
          <w:rFonts w:hint="eastAsia" w:ascii="宋体" w:hAnsi="宋体" w:cs="宋体"/>
          <w:kern w:val="0"/>
          <w:sz w:val="24"/>
          <w:szCs w:val="24"/>
          <w:highlight w:val="none"/>
        </w:rPr>
        <w:fldChar w:fldCharType="begin"/>
      </w:r>
      <w:r>
        <w:rPr>
          <w:rFonts w:hint="eastAsia" w:ascii="宋体" w:hAnsi="宋体" w:cs="宋体"/>
          <w:kern w:val="0"/>
          <w:sz w:val="24"/>
          <w:szCs w:val="24"/>
          <w:highlight w:val="none"/>
        </w:rPr>
        <w:instrText xml:space="preserve"> HYPERLINK \l _Toc1499 </w:instrText>
      </w:r>
      <w:r>
        <w:rPr>
          <w:rFonts w:hint="eastAsia" w:ascii="宋体" w:hAnsi="宋体" w:cs="宋体"/>
          <w:kern w:val="0"/>
          <w:sz w:val="24"/>
          <w:szCs w:val="24"/>
          <w:highlight w:val="none"/>
        </w:rPr>
        <w:fldChar w:fldCharType="separate"/>
      </w:r>
      <w:r>
        <w:rPr>
          <w:rFonts w:hint="eastAsia" w:ascii="宋体" w:hAnsi="宋体" w:cs="宋体"/>
          <w:kern w:val="0"/>
          <w:sz w:val="24"/>
          <w:szCs w:val="24"/>
          <w:highlight w:val="none"/>
        </w:rPr>
        <w:t>9. 纪律和监督</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_Toc1499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25</w:t>
      </w:r>
      <w:r>
        <w:rPr>
          <w:rFonts w:hint="eastAsia" w:ascii="宋体" w:hAnsi="宋体" w:cs="宋体"/>
          <w:sz w:val="24"/>
          <w:szCs w:val="24"/>
          <w:highlight w:val="none"/>
        </w:rPr>
        <w:fldChar w:fldCharType="end"/>
      </w:r>
      <w:r>
        <w:rPr>
          <w:rFonts w:hint="eastAsia" w:ascii="宋体" w:hAnsi="宋体" w:cs="宋体"/>
          <w:kern w:val="0"/>
          <w:sz w:val="24"/>
          <w:szCs w:val="24"/>
          <w:highlight w:val="none"/>
        </w:rPr>
        <w:fldChar w:fldCharType="end"/>
      </w:r>
    </w:p>
    <w:p>
      <w:pPr>
        <w:pStyle w:val="12"/>
        <w:tabs>
          <w:tab w:val="right" w:leader="dot" w:pos="9689"/>
        </w:tabs>
        <w:adjustRightInd w:val="0"/>
        <w:snapToGrid w:val="0"/>
        <w:spacing w:line="360" w:lineRule="auto"/>
        <w:ind w:left="0"/>
        <w:jc w:val="left"/>
        <w:rPr>
          <w:rFonts w:hint="eastAsia" w:ascii="宋体" w:hAnsi="宋体" w:cs="宋体"/>
          <w:sz w:val="24"/>
          <w:szCs w:val="24"/>
          <w:highlight w:val="none"/>
        </w:rPr>
      </w:pPr>
      <w:r>
        <w:rPr>
          <w:rFonts w:hint="eastAsia" w:ascii="宋体" w:hAnsi="宋体" w:cs="宋体"/>
          <w:kern w:val="0"/>
          <w:sz w:val="24"/>
          <w:szCs w:val="24"/>
          <w:highlight w:val="none"/>
        </w:rPr>
        <w:fldChar w:fldCharType="begin"/>
      </w:r>
      <w:r>
        <w:rPr>
          <w:rFonts w:hint="eastAsia" w:ascii="宋体" w:hAnsi="宋体" w:cs="宋体"/>
          <w:kern w:val="0"/>
          <w:sz w:val="24"/>
          <w:szCs w:val="24"/>
          <w:highlight w:val="none"/>
        </w:rPr>
        <w:instrText xml:space="preserve"> HYPERLINK \l _Toc13457 </w:instrText>
      </w:r>
      <w:r>
        <w:rPr>
          <w:rFonts w:hint="eastAsia" w:ascii="宋体" w:hAnsi="宋体" w:cs="宋体"/>
          <w:kern w:val="0"/>
          <w:sz w:val="24"/>
          <w:szCs w:val="24"/>
          <w:highlight w:val="none"/>
        </w:rPr>
        <w:fldChar w:fldCharType="separate"/>
      </w:r>
      <w:r>
        <w:rPr>
          <w:rFonts w:hint="eastAsia" w:ascii="宋体" w:hAnsi="宋体" w:cs="宋体"/>
          <w:kern w:val="0"/>
          <w:sz w:val="24"/>
          <w:szCs w:val="24"/>
          <w:highlight w:val="none"/>
        </w:rPr>
        <w:t>10. 需要补充的其他内容</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_Toc13457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25</w:t>
      </w:r>
      <w:r>
        <w:rPr>
          <w:rFonts w:hint="eastAsia" w:ascii="宋体" w:hAnsi="宋体" w:cs="宋体"/>
          <w:sz w:val="24"/>
          <w:szCs w:val="24"/>
          <w:highlight w:val="none"/>
        </w:rPr>
        <w:fldChar w:fldCharType="end"/>
      </w:r>
      <w:r>
        <w:rPr>
          <w:rFonts w:hint="eastAsia" w:ascii="宋体" w:hAnsi="宋体" w:cs="宋体"/>
          <w:kern w:val="0"/>
          <w:sz w:val="24"/>
          <w:szCs w:val="24"/>
          <w:highlight w:val="none"/>
        </w:rPr>
        <w:fldChar w:fldCharType="end"/>
      </w:r>
    </w:p>
    <w:p>
      <w:pPr>
        <w:pStyle w:val="11"/>
        <w:tabs>
          <w:tab w:val="right" w:leader="dot" w:pos="9689"/>
        </w:tabs>
        <w:adjustRightInd w:val="0"/>
        <w:snapToGrid w:val="0"/>
        <w:spacing w:line="360" w:lineRule="auto"/>
        <w:jc w:val="left"/>
        <w:rPr>
          <w:rFonts w:hint="eastAsia" w:ascii="宋体" w:hAnsi="宋体" w:cs="宋体"/>
          <w:sz w:val="24"/>
          <w:szCs w:val="24"/>
          <w:highlight w:val="none"/>
        </w:rPr>
      </w:pPr>
      <w:r>
        <w:rPr>
          <w:rFonts w:hint="eastAsia" w:ascii="宋体" w:hAnsi="宋体" w:cs="宋体"/>
          <w:kern w:val="0"/>
          <w:sz w:val="24"/>
          <w:szCs w:val="24"/>
          <w:highlight w:val="none"/>
        </w:rPr>
        <w:fldChar w:fldCharType="begin"/>
      </w:r>
      <w:r>
        <w:rPr>
          <w:rFonts w:hint="eastAsia" w:ascii="宋体" w:hAnsi="宋体" w:cs="宋体"/>
          <w:kern w:val="0"/>
          <w:sz w:val="24"/>
          <w:szCs w:val="24"/>
          <w:highlight w:val="none"/>
        </w:rPr>
        <w:instrText xml:space="preserve"> HYPERLINK \l _Toc32687 </w:instrText>
      </w:r>
      <w:r>
        <w:rPr>
          <w:rFonts w:hint="eastAsia" w:ascii="宋体" w:hAnsi="宋体" w:cs="宋体"/>
          <w:kern w:val="0"/>
          <w:sz w:val="24"/>
          <w:szCs w:val="24"/>
          <w:highlight w:val="none"/>
        </w:rPr>
        <w:fldChar w:fldCharType="separate"/>
      </w:r>
      <w:r>
        <w:rPr>
          <w:rFonts w:hint="eastAsia" w:ascii="宋体" w:hAnsi="宋体" w:cs="宋体"/>
          <w:sz w:val="24"/>
          <w:szCs w:val="24"/>
          <w:highlight w:val="none"/>
        </w:rPr>
        <w:t>第三章  评标办法（综合评估法）</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_Toc32687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26</w:t>
      </w:r>
      <w:r>
        <w:rPr>
          <w:rFonts w:hint="eastAsia" w:ascii="宋体" w:hAnsi="宋体" w:cs="宋体"/>
          <w:sz w:val="24"/>
          <w:szCs w:val="24"/>
          <w:highlight w:val="none"/>
        </w:rPr>
        <w:fldChar w:fldCharType="end"/>
      </w:r>
      <w:r>
        <w:rPr>
          <w:rFonts w:hint="eastAsia" w:ascii="宋体" w:hAnsi="宋体" w:cs="宋体"/>
          <w:kern w:val="0"/>
          <w:sz w:val="24"/>
          <w:szCs w:val="24"/>
          <w:highlight w:val="none"/>
        </w:rPr>
        <w:fldChar w:fldCharType="end"/>
      </w:r>
    </w:p>
    <w:p>
      <w:pPr>
        <w:pStyle w:val="12"/>
        <w:tabs>
          <w:tab w:val="right" w:leader="dot" w:pos="9689"/>
        </w:tabs>
        <w:adjustRightInd w:val="0"/>
        <w:snapToGrid w:val="0"/>
        <w:spacing w:line="360" w:lineRule="auto"/>
        <w:ind w:left="0"/>
        <w:jc w:val="left"/>
        <w:rPr>
          <w:rFonts w:hint="eastAsia" w:ascii="宋体" w:hAnsi="宋体" w:cs="宋体"/>
          <w:sz w:val="24"/>
          <w:szCs w:val="24"/>
          <w:highlight w:val="none"/>
        </w:rPr>
      </w:pPr>
      <w:r>
        <w:rPr>
          <w:rFonts w:hint="eastAsia" w:ascii="宋体" w:hAnsi="宋体" w:cs="宋体"/>
          <w:kern w:val="0"/>
          <w:sz w:val="24"/>
          <w:szCs w:val="24"/>
          <w:highlight w:val="none"/>
        </w:rPr>
        <w:fldChar w:fldCharType="begin"/>
      </w:r>
      <w:r>
        <w:rPr>
          <w:rFonts w:hint="eastAsia" w:ascii="宋体" w:hAnsi="宋体" w:cs="宋体"/>
          <w:kern w:val="0"/>
          <w:sz w:val="24"/>
          <w:szCs w:val="24"/>
          <w:highlight w:val="none"/>
        </w:rPr>
        <w:instrText xml:space="preserve"> HYPERLINK \l _Toc16324 </w:instrText>
      </w:r>
      <w:r>
        <w:rPr>
          <w:rFonts w:hint="eastAsia" w:ascii="宋体" w:hAnsi="宋体" w:cs="宋体"/>
          <w:kern w:val="0"/>
          <w:sz w:val="24"/>
          <w:szCs w:val="24"/>
          <w:highlight w:val="none"/>
        </w:rPr>
        <w:fldChar w:fldCharType="separate"/>
      </w:r>
      <w:r>
        <w:rPr>
          <w:rFonts w:hint="eastAsia" w:ascii="宋体" w:hAnsi="宋体" w:cs="宋体"/>
          <w:sz w:val="24"/>
          <w:szCs w:val="24"/>
          <w:highlight w:val="none"/>
        </w:rPr>
        <w:t>评标办法前附表</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_Toc16324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26</w:t>
      </w:r>
      <w:r>
        <w:rPr>
          <w:rFonts w:hint="eastAsia" w:ascii="宋体" w:hAnsi="宋体" w:cs="宋体"/>
          <w:sz w:val="24"/>
          <w:szCs w:val="24"/>
          <w:highlight w:val="none"/>
        </w:rPr>
        <w:fldChar w:fldCharType="end"/>
      </w:r>
      <w:r>
        <w:rPr>
          <w:rFonts w:hint="eastAsia" w:ascii="宋体" w:hAnsi="宋体" w:cs="宋体"/>
          <w:kern w:val="0"/>
          <w:sz w:val="24"/>
          <w:szCs w:val="24"/>
          <w:highlight w:val="none"/>
        </w:rPr>
        <w:fldChar w:fldCharType="end"/>
      </w:r>
    </w:p>
    <w:p>
      <w:pPr>
        <w:pStyle w:val="12"/>
        <w:tabs>
          <w:tab w:val="right" w:leader="dot" w:pos="9689"/>
        </w:tabs>
        <w:adjustRightInd w:val="0"/>
        <w:snapToGrid w:val="0"/>
        <w:spacing w:line="360" w:lineRule="auto"/>
        <w:ind w:left="0"/>
        <w:jc w:val="left"/>
        <w:rPr>
          <w:rFonts w:hint="eastAsia" w:ascii="宋体" w:hAnsi="宋体" w:cs="宋体"/>
          <w:sz w:val="24"/>
          <w:szCs w:val="24"/>
          <w:highlight w:val="none"/>
        </w:rPr>
      </w:pPr>
      <w:r>
        <w:rPr>
          <w:rFonts w:hint="eastAsia" w:ascii="宋体" w:hAnsi="宋体" w:cs="宋体"/>
          <w:kern w:val="0"/>
          <w:sz w:val="24"/>
          <w:szCs w:val="24"/>
          <w:highlight w:val="none"/>
        </w:rPr>
        <w:fldChar w:fldCharType="begin"/>
      </w:r>
      <w:r>
        <w:rPr>
          <w:rFonts w:hint="eastAsia" w:ascii="宋体" w:hAnsi="宋体" w:cs="宋体"/>
          <w:kern w:val="0"/>
          <w:sz w:val="24"/>
          <w:szCs w:val="24"/>
          <w:highlight w:val="none"/>
        </w:rPr>
        <w:instrText xml:space="preserve"> HYPERLINK \l _Toc26023 </w:instrText>
      </w:r>
      <w:r>
        <w:rPr>
          <w:rFonts w:hint="eastAsia" w:ascii="宋体" w:hAnsi="宋体" w:cs="宋体"/>
          <w:kern w:val="0"/>
          <w:sz w:val="24"/>
          <w:szCs w:val="24"/>
          <w:highlight w:val="none"/>
        </w:rPr>
        <w:fldChar w:fldCharType="separate"/>
      </w:r>
      <w:r>
        <w:rPr>
          <w:rFonts w:hint="eastAsia" w:ascii="宋体" w:hAnsi="宋体" w:cs="宋体"/>
          <w:snapToGrid w:val="0"/>
          <w:kern w:val="0"/>
          <w:sz w:val="24"/>
          <w:szCs w:val="24"/>
          <w:highlight w:val="none"/>
        </w:rPr>
        <w:t>1. 评标方法</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_Toc26023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30</w:t>
      </w:r>
      <w:r>
        <w:rPr>
          <w:rFonts w:hint="eastAsia" w:ascii="宋体" w:hAnsi="宋体" w:cs="宋体"/>
          <w:sz w:val="24"/>
          <w:szCs w:val="24"/>
          <w:highlight w:val="none"/>
        </w:rPr>
        <w:fldChar w:fldCharType="end"/>
      </w:r>
      <w:r>
        <w:rPr>
          <w:rFonts w:hint="eastAsia" w:ascii="宋体" w:hAnsi="宋体" w:cs="宋体"/>
          <w:kern w:val="0"/>
          <w:sz w:val="24"/>
          <w:szCs w:val="24"/>
          <w:highlight w:val="none"/>
        </w:rPr>
        <w:fldChar w:fldCharType="end"/>
      </w:r>
    </w:p>
    <w:p>
      <w:pPr>
        <w:pStyle w:val="12"/>
        <w:tabs>
          <w:tab w:val="right" w:leader="dot" w:pos="9689"/>
        </w:tabs>
        <w:adjustRightInd w:val="0"/>
        <w:snapToGrid w:val="0"/>
        <w:spacing w:line="360" w:lineRule="auto"/>
        <w:ind w:left="0"/>
        <w:jc w:val="left"/>
        <w:rPr>
          <w:rFonts w:hint="eastAsia" w:ascii="宋体" w:hAnsi="宋体" w:cs="宋体"/>
          <w:sz w:val="24"/>
          <w:szCs w:val="24"/>
          <w:highlight w:val="none"/>
        </w:rPr>
      </w:pPr>
      <w:r>
        <w:rPr>
          <w:rFonts w:hint="eastAsia" w:ascii="宋体" w:hAnsi="宋体" w:cs="宋体"/>
          <w:kern w:val="0"/>
          <w:sz w:val="24"/>
          <w:szCs w:val="24"/>
          <w:highlight w:val="none"/>
        </w:rPr>
        <w:fldChar w:fldCharType="begin"/>
      </w:r>
      <w:r>
        <w:rPr>
          <w:rFonts w:hint="eastAsia" w:ascii="宋体" w:hAnsi="宋体" w:cs="宋体"/>
          <w:kern w:val="0"/>
          <w:sz w:val="24"/>
          <w:szCs w:val="24"/>
          <w:highlight w:val="none"/>
        </w:rPr>
        <w:instrText xml:space="preserve"> HYPERLINK \l _Toc8780 </w:instrText>
      </w:r>
      <w:r>
        <w:rPr>
          <w:rFonts w:hint="eastAsia" w:ascii="宋体" w:hAnsi="宋体" w:cs="宋体"/>
          <w:kern w:val="0"/>
          <w:sz w:val="24"/>
          <w:szCs w:val="24"/>
          <w:highlight w:val="none"/>
        </w:rPr>
        <w:fldChar w:fldCharType="separate"/>
      </w:r>
      <w:r>
        <w:rPr>
          <w:rFonts w:hint="eastAsia" w:ascii="宋体" w:hAnsi="宋体" w:cs="宋体"/>
          <w:snapToGrid w:val="0"/>
          <w:kern w:val="0"/>
          <w:sz w:val="24"/>
          <w:szCs w:val="24"/>
          <w:highlight w:val="none"/>
        </w:rPr>
        <w:t>2. 评审标准</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_Toc8780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30</w:t>
      </w:r>
      <w:r>
        <w:rPr>
          <w:rFonts w:hint="eastAsia" w:ascii="宋体" w:hAnsi="宋体" w:cs="宋体"/>
          <w:sz w:val="24"/>
          <w:szCs w:val="24"/>
          <w:highlight w:val="none"/>
        </w:rPr>
        <w:fldChar w:fldCharType="end"/>
      </w:r>
      <w:r>
        <w:rPr>
          <w:rFonts w:hint="eastAsia" w:ascii="宋体" w:hAnsi="宋体" w:cs="宋体"/>
          <w:kern w:val="0"/>
          <w:sz w:val="24"/>
          <w:szCs w:val="24"/>
          <w:highlight w:val="none"/>
        </w:rPr>
        <w:fldChar w:fldCharType="end"/>
      </w:r>
    </w:p>
    <w:p>
      <w:pPr>
        <w:pStyle w:val="12"/>
        <w:tabs>
          <w:tab w:val="right" w:leader="dot" w:pos="9689"/>
        </w:tabs>
        <w:adjustRightInd w:val="0"/>
        <w:snapToGrid w:val="0"/>
        <w:spacing w:line="360" w:lineRule="auto"/>
        <w:ind w:left="0"/>
        <w:jc w:val="left"/>
        <w:rPr>
          <w:rFonts w:hint="eastAsia" w:ascii="宋体" w:hAnsi="宋体" w:cs="宋体"/>
          <w:sz w:val="24"/>
          <w:szCs w:val="24"/>
          <w:highlight w:val="none"/>
        </w:rPr>
      </w:pPr>
      <w:r>
        <w:rPr>
          <w:rFonts w:hint="eastAsia" w:ascii="宋体" w:hAnsi="宋体" w:cs="宋体"/>
          <w:kern w:val="0"/>
          <w:sz w:val="24"/>
          <w:szCs w:val="24"/>
          <w:highlight w:val="none"/>
        </w:rPr>
        <w:fldChar w:fldCharType="begin"/>
      </w:r>
      <w:r>
        <w:rPr>
          <w:rFonts w:hint="eastAsia" w:ascii="宋体" w:hAnsi="宋体" w:cs="宋体"/>
          <w:kern w:val="0"/>
          <w:sz w:val="24"/>
          <w:szCs w:val="24"/>
          <w:highlight w:val="none"/>
        </w:rPr>
        <w:instrText xml:space="preserve"> HYPERLINK \l _Toc32610 </w:instrText>
      </w:r>
      <w:r>
        <w:rPr>
          <w:rFonts w:hint="eastAsia" w:ascii="宋体" w:hAnsi="宋体" w:cs="宋体"/>
          <w:kern w:val="0"/>
          <w:sz w:val="24"/>
          <w:szCs w:val="24"/>
          <w:highlight w:val="none"/>
        </w:rPr>
        <w:fldChar w:fldCharType="separate"/>
      </w:r>
      <w:r>
        <w:rPr>
          <w:rFonts w:hint="eastAsia" w:ascii="宋体" w:hAnsi="宋体" w:cs="宋体"/>
          <w:snapToGrid w:val="0"/>
          <w:kern w:val="0"/>
          <w:sz w:val="24"/>
          <w:szCs w:val="24"/>
          <w:highlight w:val="none"/>
        </w:rPr>
        <w:t>3. 评标程序</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_Toc32610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30</w:t>
      </w:r>
      <w:r>
        <w:rPr>
          <w:rFonts w:hint="eastAsia" w:ascii="宋体" w:hAnsi="宋体" w:cs="宋体"/>
          <w:sz w:val="24"/>
          <w:szCs w:val="24"/>
          <w:highlight w:val="none"/>
        </w:rPr>
        <w:fldChar w:fldCharType="end"/>
      </w:r>
      <w:r>
        <w:rPr>
          <w:rFonts w:hint="eastAsia" w:ascii="宋体" w:hAnsi="宋体" w:cs="宋体"/>
          <w:kern w:val="0"/>
          <w:sz w:val="24"/>
          <w:szCs w:val="24"/>
          <w:highlight w:val="none"/>
        </w:rPr>
        <w:fldChar w:fldCharType="end"/>
      </w:r>
    </w:p>
    <w:p>
      <w:pPr>
        <w:pStyle w:val="11"/>
        <w:tabs>
          <w:tab w:val="right" w:leader="dot" w:pos="9689"/>
        </w:tabs>
        <w:adjustRightInd w:val="0"/>
        <w:snapToGrid w:val="0"/>
        <w:spacing w:line="360" w:lineRule="auto"/>
        <w:jc w:val="left"/>
        <w:rPr>
          <w:rFonts w:hint="eastAsia" w:ascii="宋体" w:hAnsi="宋体" w:cs="宋体"/>
          <w:sz w:val="24"/>
          <w:szCs w:val="24"/>
          <w:highlight w:val="none"/>
        </w:rPr>
      </w:pPr>
      <w:r>
        <w:rPr>
          <w:rFonts w:hint="eastAsia" w:ascii="宋体" w:hAnsi="宋体" w:cs="宋体"/>
          <w:kern w:val="0"/>
          <w:sz w:val="24"/>
          <w:szCs w:val="24"/>
          <w:highlight w:val="none"/>
        </w:rPr>
        <w:fldChar w:fldCharType="begin"/>
      </w:r>
      <w:r>
        <w:rPr>
          <w:rFonts w:hint="eastAsia" w:ascii="宋体" w:hAnsi="宋体" w:cs="宋体"/>
          <w:kern w:val="0"/>
          <w:sz w:val="24"/>
          <w:szCs w:val="24"/>
          <w:highlight w:val="none"/>
        </w:rPr>
        <w:instrText xml:space="preserve"> HYPERLINK \l _Toc5443 </w:instrText>
      </w:r>
      <w:r>
        <w:rPr>
          <w:rFonts w:hint="eastAsia" w:ascii="宋体" w:hAnsi="宋体" w:cs="宋体"/>
          <w:kern w:val="0"/>
          <w:sz w:val="24"/>
          <w:szCs w:val="24"/>
          <w:highlight w:val="none"/>
        </w:rPr>
        <w:fldChar w:fldCharType="separate"/>
      </w:r>
      <w:r>
        <w:rPr>
          <w:rFonts w:hint="eastAsia" w:ascii="宋体" w:hAnsi="宋体" w:cs="宋体"/>
          <w:sz w:val="24"/>
          <w:szCs w:val="24"/>
          <w:highlight w:val="none"/>
        </w:rPr>
        <w:t>第四章  合同条款及格式</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_Toc5443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33</w:t>
      </w:r>
      <w:r>
        <w:rPr>
          <w:rFonts w:hint="eastAsia" w:ascii="宋体" w:hAnsi="宋体" w:cs="宋体"/>
          <w:sz w:val="24"/>
          <w:szCs w:val="24"/>
          <w:highlight w:val="none"/>
        </w:rPr>
        <w:fldChar w:fldCharType="end"/>
      </w:r>
      <w:r>
        <w:rPr>
          <w:rFonts w:hint="eastAsia" w:ascii="宋体" w:hAnsi="宋体" w:cs="宋体"/>
          <w:kern w:val="0"/>
          <w:sz w:val="24"/>
          <w:szCs w:val="24"/>
          <w:highlight w:val="none"/>
        </w:rPr>
        <w:fldChar w:fldCharType="end"/>
      </w:r>
    </w:p>
    <w:p>
      <w:pPr>
        <w:pStyle w:val="11"/>
        <w:tabs>
          <w:tab w:val="right" w:leader="dot" w:pos="9689"/>
        </w:tabs>
        <w:adjustRightInd w:val="0"/>
        <w:snapToGrid w:val="0"/>
        <w:spacing w:line="360" w:lineRule="auto"/>
        <w:jc w:val="left"/>
        <w:rPr>
          <w:rFonts w:hint="eastAsia" w:ascii="宋体" w:hAnsi="宋体" w:cs="宋体"/>
          <w:sz w:val="24"/>
          <w:szCs w:val="24"/>
          <w:highlight w:val="none"/>
        </w:rPr>
      </w:pPr>
      <w:r>
        <w:rPr>
          <w:rFonts w:hint="eastAsia" w:ascii="宋体" w:hAnsi="宋体" w:cs="宋体"/>
          <w:kern w:val="0"/>
          <w:sz w:val="24"/>
          <w:szCs w:val="24"/>
          <w:highlight w:val="none"/>
        </w:rPr>
        <w:fldChar w:fldCharType="begin"/>
      </w:r>
      <w:r>
        <w:rPr>
          <w:rFonts w:hint="eastAsia" w:ascii="宋体" w:hAnsi="宋体" w:cs="宋体"/>
          <w:kern w:val="0"/>
          <w:sz w:val="24"/>
          <w:szCs w:val="24"/>
          <w:highlight w:val="none"/>
        </w:rPr>
        <w:instrText xml:space="preserve"> HYPERLINK \l _Toc22945 </w:instrText>
      </w:r>
      <w:r>
        <w:rPr>
          <w:rFonts w:hint="eastAsia" w:ascii="宋体" w:hAnsi="宋体" w:cs="宋体"/>
          <w:kern w:val="0"/>
          <w:sz w:val="24"/>
          <w:szCs w:val="24"/>
          <w:highlight w:val="none"/>
        </w:rPr>
        <w:fldChar w:fldCharType="separate"/>
      </w:r>
      <w:r>
        <w:rPr>
          <w:rFonts w:hint="eastAsia" w:ascii="宋体" w:hAnsi="宋体" w:cs="宋体"/>
          <w:sz w:val="24"/>
          <w:szCs w:val="24"/>
          <w:highlight w:val="none"/>
        </w:rPr>
        <w:t>第五章  技术标准和要求</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_Toc22945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45</w:t>
      </w:r>
      <w:r>
        <w:rPr>
          <w:rFonts w:hint="eastAsia" w:ascii="宋体" w:hAnsi="宋体" w:cs="宋体"/>
          <w:sz w:val="24"/>
          <w:szCs w:val="24"/>
          <w:highlight w:val="none"/>
        </w:rPr>
        <w:fldChar w:fldCharType="end"/>
      </w:r>
      <w:r>
        <w:rPr>
          <w:rFonts w:hint="eastAsia" w:ascii="宋体" w:hAnsi="宋体" w:cs="宋体"/>
          <w:kern w:val="0"/>
          <w:sz w:val="24"/>
          <w:szCs w:val="24"/>
          <w:highlight w:val="none"/>
        </w:rPr>
        <w:fldChar w:fldCharType="end"/>
      </w:r>
    </w:p>
    <w:p>
      <w:pPr>
        <w:pStyle w:val="11"/>
        <w:tabs>
          <w:tab w:val="right" w:leader="dot" w:pos="9689"/>
        </w:tabs>
        <w:adjustRightInd w:val="0"/>
        <w:snapToGrid w:val="0"/>
        <w:spacing w:line="360" w:lineRule="auto"/>
        <w:jc w:val="left"/>
        <w:rPr>
          <w:rFonts w:hint="eastAsia" w:ascii="宋体" w:hAnsi="宋体" w:cs="宋体"/>
          <w:sz w:val="24"/>
          <w:szCs w:val="24"/>
          <w:highlight w:val="none"/>
        </w:rPr>
      </w:pPr>
      <w:r>
        <w:rPr>
          <w:rFonts w:hint="eastAsia" w:ascii="宋体" w:hAnsi="宋体" w:cs="宋体"/>
          <w:kern w:val="0"/>
          <w:sz w:val="24"/>
          <w:szCs w:val="24"/>
          <w:highlight w:val="none"/>
        </w:rPr>
        <w:fldChar w:fldCharType="begin"/>
      </w:r>
      <w:r>
        <w:rPr>
          <w:rFonts w:hint="eastAsia" w:ascii="宋体" w:hAnsi="宋体" w:cs="宋体"/>
          <w:kern w:val="0"/>
          <w:sz w:val="24"/>
          <w:szCs w:val="24"/>
          <w:highlight w:val="none"/>
        </w:rPr>
        <w:instrText xml:space="preserve"> HYPERLINK \l _Toc4657 </w:instrText>
      </w:r>
      <w:r>
        <w:rPr>
          <w:rFonts w:hint="eastAsia" w:ascii="宋体" w:hAnsi="宋体" w:cs="宋体"/>
          <w:kern w:val="0"/>
          <w:sz w:val="24"/>
          <w:szCs w:val="24"/>
          <w:highlight w:val="none"/>
        </w:rPr>
        <w:fldChar w:fldCharType="separate"/>
      </w:r>
      <w:r>
        <w:rPr>
          <w:rFonts w:hint="eastAsia" w:ascii="宋体" w:hAnsi="宋体" w:cs="宋体"/>
          <w:sz w:val="24"/>
          <w:szCs w:val="24"/>
          <w:highlight w:val="none"/>
        </w:rPr>
        <w:t>第六章  投标文件格式</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_Toc4657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47</w:t>
      </w:r>
      <w:r>
        <w:rPr>
          <w:rFonts w:hint="eastAsia" w:ascii="宋体" w:hAnsi="宋体" w:cs="宋体"/>
          <w:sz w:val="24"/>
          <w:szCs w:val="24"/>
          <w:highlight w:val="none"/>
        </w:rPr>
        <w:fldChar w:fldCharType="end"/>
      </w:r>
      <w:r>
        <w:rPr>
          <w:rFonts w:hint="eastAsia" w:ascii="宋体" w:hAnsi="宋体" w:cs="宋体"/>
          <w:kern w:val="0"/>
          <w:sz w:val="24"/>
          <w:szCs w:val="24"/>
          <w:highlight w:val="none"/>
        </w:rPr>
        <w:fldChar w:fldCharType="end"/>
      </w:r>
    </w:p>
    <w:p>
      <w:pPr>
        <w:pStyle w:val="12"/>
        <w:tabs>
          <w:tab w:val="right" w:leader="dot" w:pos="9689"/>
        </w:tabs>
        <w:adjustRightInd w:val="0"/>
        <w:snapToGrid w:val="0"/>
        <w:spacing w:line="360" w:lineRule="auto"/>
        <w:ind w:left="0"/>
        <w:jc w:val="left"/>
        <w:rPr>
          <w:rFonts w:hint="eastAsia" w:ascii="宋体" w:hAnsi="宋体" w:cs="宋体"/>
          <w:sz w:val="24"/>
          <w:szCs w:val="24"/>
          <w:highlight w:val="none"/>
        </w:rPr>
      </w:pPr>
      <w:r>
        <w:rPr>
          <w:rFonts w:hint="eastAsia" w:ascii="宋体" w:hAnsi="宋体" w:cs="宋体"/>
          <w:kern w:val="0"/>
          <w:sz w:val="24"/>
          <w:szCs w:val="24"/>
          <w:highlight w:val="none"/>
        </w:rPr>
        <w:fldChar w:fldCharType="begin"/>
      </w:r>
      <w:r>
        <w:rPr>
          <w:rFonts w:hint="eastAsia" w:ascii="宋体" w:hAnsi="宋体" w:cs="宋体"/>
          <w:kern w:val="0"/>
          <w:sz w:val="24"/>
          <w:szCs w:val="24"/>
          <w:highlight w:val="none"/>
        </w:rPr>
        <w:instrText xml:space="preserve"> HYPERLINK \l _Toc20598 </w:instrText>
      </w:r>
      <w:r>
        <w:rPr>
          <w:rFonts w:hint="eastAsia" w:ascii="宋体" w:hAnsi="宋体" w:cs="宋体"/>
          <w:kern w:val="0"/>
          <w:sz w:val="24"/>
          <w:szCs w:val="24"/>
          <w:highlight w:val="none"/>
        </w:rPr>
        <w:fldChar w:fldCharType="separate"/>
      </w:r>
      <w:r>
        <w:rPr>
          <w:rFonts w:hint="eastAsia" w:ascii="宋体" w:hAnsi="宋体" w:cs="宋体"/>
          <w:bCs/>
          <w:kern w:val="0"/>
          <w:sz w:val="24"/>
          <w:szCs w:val="24"/>
          <w:highlight w:val="none"/>
        </w:rPr>
        <w:t>一、投标函部分</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_Toc20598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50</w:t>
      </w:r>
      <w:r>
        <w:rPr>
          <w:rFonts w:hint="eastAsia" w:ascii="宋体" w:hAnsi="宋体" w:cs="宋体"/>
          <w:sz w:val="24"/>
          <w:szCs w:val="24"/>
          <w:highlight w:val="none"/>
        </w:rPr>
        <w:fldChar w:fldCharType="end"/>
      </w:r>
      <w:r>
        <w:rPr>
          <w:rFonts w:hint="eastAsia" w:ascii="宋体" w:hAnsi="宋体" w:cs="宋体"/>
          <w:kern w:val="0"/>
          <w:sz w:val="24"/>
          <w:szCs w:val="24"/>
          <w:highlight w:val="none"/>
        </w:rPr>
        <w:fldChar w:fldCharType="end"/>
      </w:r>
    </w:p>
    <w:p>
      <w:pPr>
        <w:pStyle w:val="12"/>
        <w:tabs>
          <w:tab w:val="right" w:leader="dot" w:pos="9689"/>
        </w:tabs>
        <w:adjustRightInd w:val="0"/>
        <w:snapToGrid w:val="0"/>
        <w:spacing w:line="360" w:lineRule="auto"/>
        <w:ind w:left="0"/>
        <w:jc w:val="left"/>
        <w:rPr>
          <w:rFonts w:hint="eastAsia" w:ascii="宋体" w:hAnsi="宋体" w:cs="宋体"/>
          <w:sz w:val="24"/>
          <w:szCs w:val="24"/>
          <w:highlight w:val="none"/>
        </w:rPr>
      </w:pPr>
      <w:r>
        <w:rPr>
          <w:rFonts w:hint="eastAsia" w:ascii="宋体" w:hAnsi="宋体" w:cs="宋体"/>
          <w:kern w:val="0"/>
          <w:sz w:val="24"/>
          <w:szCs w:val="24"/>
          <w:highlight w:val="none"/>
        </w:rPr>
        <w:fldChar w:fldCharType="begin"/>
      </w:r>
      <w:r>
        <w:rPr>
          <w:rFonts w:hint="eastAsia" w:ascii="宋体" w:hAnsi="宋体" w:cs="宋体"/>
          <w:kern w:val="0"/>
          <w:sz w:val="24"/>
          <w:szCs w:val="24"/>
          <w:highlight w:val="none"/>
        </w:rPr>
        <w:instrText xml:space="preserve"> HYPERLINK \l _Toc13052 </w:instrText>
      </w:r>
      <w:r>
        <w:rPr>
          <w:rFonts w:hint="eastAsia" w:ascii="宋体" w:hAnsi="宋体" w:cs="宋体"/>
          <w:kern w:val="0"/>
          <w:sz w:val="24"/>
          <w:szCs w:val="24"/>
          <w:highlight w:val="none"/>
        </w:rPr>
        <w:fldChar w:fldCharType="separate"/>
      </w:r>
      <w:r>
        <w:rPr>
          <w:rFonts w:hint="eastAsia" w:ascii="宋体" w:hAnsi="宋体" w:cs="宋体"/>
          <w:bCs/>
          <w:sz w:val="24"/>
          <w:szCs w:val="24"/>
          <w:highlight w:val="none"/>
        </w:rPr>
        <w:t>二、资格审查部分</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_Toc13052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55</w:t>
      </w:r>
      <w:r>
        <w:rPr>
          <w:rFonts w:hint="eastAsia" w:ascii="宋体" w:hAnsi="宋体" w:cs="宋体"/>
          <w:sz w:val="24"/>
          <w:szCs w:val="24"/>
          <w:highlight w:val="none"/>
        </w:rPr>
        <w:fldChar w:fldCharType="end"/>
      </w:r>
      <w:r>
        <w:rPr>
          <w:rFonts w:hint="eastAsia" w:ascii="宋体" w:hAnsi="宋体" w:cs="宋体"/>
          <w:kern w:val="0"/>
          <w:sz w:val="24"/>
          <w:szCs w:val="24"/>
          <w:highlight w:val="none"/>
        </w:rPr>
        <w:fldChar w:fldCharType="end"/>
      </w:r>
    </w:p>
    <w:p>
      <w:pPr>
        <w:pStyle w:val="12"/>
        <w:tabs>
          <w:tab w:val="right" w:leader="dot" w:pos="9689"/>
        </w:tabs>
        <w:adjustRightInd w:val="0"/>
        <w:snapToGrid w:val="0"/>
        <w:spacing w:line="360" w:lineRule="auto"/>
        <w:ind w:left="0"/>
        <w:jc w:val="left"/>
        <w:rPr>
          <w:rFonts w:hint="eastAsia" w:ascii="宋体" w:hAnsi="宋体" w:cs="宋体"/>
          <w:sz w:val="24"/>
          <w:szCs w:val="24"/>
          <w:highlight w:val="none"/>
        </w:rPr>
      </w:pPr>
      <w:r>
        <w:rPr>
          <w:rFonts w:hint="eastAsia" w:ascii="宋体" w:hAnsi="宋体" w:cs="宋体"/>
          <w:kern w:val="0"/>
          <w:sz w:val="24"/>
          <w:szCs w:val="24"/>
          <w:highlight w:val="none"/>
        </w:rPr>
        <w:fldChar w:fldCharType="begin"/>
      </w:r>
      <w:r>
        <w:rPr>
          <w:rFonts w:hint="eastAsia" w:ascii="宋体" w:hAnsi="宋体" w:cs="宋体"/>
          <w:kern w:val="0"/>
          <w:sz w:val="24"/>
          <w:szCs w:val="24"/>
          <w:highlight w:val="none"/>
        </w:rPr>
        <w:instrText xml:space="preserve"> HYPERLINK \l _Toc29659 </w:instrText>
      </w:r>
      <w:r>
        <w:rPr>
          <w:rFonts w:hint="eastAsia" w:ascii="宋体" w:hAnsi="宋体" w:cs="宋体"/>
          <w:kern w:val="0"/>
          <w:sz w:val="24"/>
          <w:szCs w:val="24"/>
          <w:highlight w:val="none"/>
        </w:rPr>
        <w:fldChar w:fldCharType="separate"/>
      </w:r>
      <w:r>
        <w:rPr>
          <w:rFonts w:hint="eastAsia" w:ascii="宋体" w:hAnsi="宋体" w:cs="宋体"/>
          <w:bCs/>
          <w:sz w:val="24"/>
          <w:szCs w:val="24"/>
          <w:highlight w:val="none"/>
        </w:rPr>
        <w:t>三、商务部分</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_Toc29659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63</w:t>
      </w:r>
      <w:r>
        <w:rPr>
          <w:rFonts w:hint="eastAsia" w:ascii="宋体" w:hAnsi="宋体" w:cs="宋体"/>
          <w:sz w:val="24"/>
          <w:szCs w:val="24"/>
          <w:highlight w:val="none"/>
        </w:rPr>
        <w:fldChar w:fldCharType="end"/>
      </w:r>
      <w:r>
        <w:rPr>
          <w:rFonts w:hint="eastAsia" w:ascii="宋体" w:hAnsi="宋体" w:cs="宋体"/>
          <w:kern w:val="0"/>
          <w:sz w:val="24"/>
          <w:szCs w:val="24"/>
          <w:highlight w:val="none"/>
        </w:rPr>
        <w:fldChar w:fldCharType="end"/>
      </w:r>
    </w:p>
    <w:p>
      <w:pPr>
        <w:pStyle w:val="12"/>
        <w:tabs>
          <w:tab w:val="right" w:leader="dot" w:pos="9689"/>
        </w:tabs>
        <w:adjustRightInd w:val="0"/>
        <w:snapToGrid w:val="0"/>
        <w:spacing w:line="360" w:lineRule="auto"/>
        <w:ind w:left="0"/>
        <w:jc w:val="left"/>
        <w:rPr>
          <w:rFonts w:hint="eastAsia" w:ascii="宋体" w:hAnsi="宋体" w:cs="宋体"/>
          <w:sz w:val="24"/>
          <w:szCs w:val="24"/>
          <w:highlight w:val="none"/>
        </w:rPr>
      </w:pPr>
      <w:r>
        <w:rPr>
          <w:rFonts w:hint="eastAsia" w:ascii="宋体" w:hAnsi="宋体" w:cs="宋体"/>
          <w:kern w:val="0"/>
          <w:sz w:val="24"/>
          <w:szCs w:val="24"/>
          <w:highlight w:val="none"/>
        </w:rPr>
        <w:fldChar w:fldCharType="begin"/>
      </w:r>
      <w:r>
        <w:rPr>
          <w:rFonts w:hint="eastAsia" w:ascii="宋体" w:hAnsi="宋体" w:cs="宋体"/>
          <w:kern w:val="0"/>
          <w:sz w:val="24"/>
          <w:szCs w:val="24"/>
          <w:highlight w:val="none"/>
        </w:rPr>
        <w:instrText xml:space="preserve"> HYPERLINK \l _Toc30366 </w:instrText>
      </w:r>
      <w:r>
        <w:rPr>
          <w:rFonts w:hint="eastAsia" w:ascii="宋体" w:hAnsi="宋体" w:cs="宋体"/>
          <w:kern w:val="0"/>
          <w:sz w:val="24"/>
          <w:szCs w:val="24"/>
          <w:highlight w:val="none"/>
        </w:rPr>
        <w:fldChar w:fldCharType="separate"/>
      </w:r>
      <w:r>
        <w:rPr>
          <w:rFonts w:hint="eastAsia" w:ascii="宋体" w:hAnsi="宋体" w:cs="宋体"/>
          <w:bCs/>
          <w:sz w:val="24"/>
          <w:szCs w:val="24"/>
          <w:highlight w:val="none"/>
        </w:rPr>
        <w:t>四、技术部分</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_Toc30366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67</w:t>
      </w:r>
      <w:r>
        <w:rPr>
          <w:rFonts w:hint="eastAsia" w:ascii="宋体" w:hAnsi="宋体" w:cs="宋体"/>
          <w:sz w:val="24"/>
          <w:szCs w:val="24"/>
          <w:highlight w:val="none"/>
        </w:rPr>
        <w:fldChar w:fldCharType="end"/>
      </w:r>
      <w:r>
        <w:rPr>
          <w:rFonts w:hint="eastAsia" w:ascii="宋体" w:hAnsi="宋体" w:cs="宋体"/>
          <w:kern w:val="0"/>
          <w:sz w:val="24"/>
          <w:szCs w:val="24"/>
          <w:highlight w:val="none"/>
        </w:rPr>
        <w:fldChar w:fldCharType="end"/>
      </w:r>
    </w:p>
    <w:p>
      <w:pPr>
        <w:autoSpaceDE w:val="0"/>
        <w:autoSpaceDN w:val="0"/>
        <w:adjustRightInd w:val="0"/>
        <w:snapToGrid w:val="0"/>
        <w:spacing w:line="360" w:lineRule="auto"/>
        <w:jc w:val="left"/>
        <w:rPr>
          <w:rFonts w:hint="eastAsia" w:ascii="宋体" w:hAnsi="宋体" w:cs="宋体"/>
          <w:kern w:val="0"/>
          <w:sz w:val="24"/>
          <w:szCs w:val="24"/>
          <w:highlight w:val="none"/>
        </w:rPr>
      </w:pPr>
      <w:r>
        <w:rPr>
          <w:rFonts w:hint="eastAsia" w:ascii="宋体" w:hAnsi="宋体" w:cs="宋体"/>
          <w:kern w:val="0"/>
          <w:sz w:val="24"/>
          <w:szCs w:val="24"/>
          <w:highlight w:val="none"/>
        </w:rPr>
        <w:fldChar w:fldCharType="end"/>
      </w:r>
    </w:p>
    <w:p>
      <w:pPr>
        <w:pStyle w:val="16"/>
        <w:rPr>
          <w:rFonts w:hint="eastAsia"/>
          <w:highlight w:val="none"/>
        </w:rPr>
      </w:pPr>
      <w:r>
        <w:rPr>
          <w:rFonts w:hint="eastAsia" w:ascii="宋体" w:hAnsi="宋体" w:cs="宋体"/>
          <w:spacing w:val="2"/>
          <w:w w:val="99"/>
          <w:kern w:val="0"/>
          <w:sz w:val="44"/>
          <w:szCs w:val="44"/>
          <w:highlight w:val="none"/>
        </w:rPr>
        <w:br w:type="page"/>
      </w:r>
      <w:bookmarkStart w:id="0" w:name="_Toc26142"/>
      <w:bookmarkStart w:id="1" w:name="_Toc13971"/>
      <w:bookmarkStart w:id="2" w:name="_Toc11696"/>
      <w:r>
        <w:rPr>
          <w:rFonts w:hint="eastAsia"/>
          <w:highlight w:val="none"/>
        </w:rPr>
        <w:t>第一章  招标公告</w:t>
      </w:r>
      <w:bookmarkEnd w:id="0"/>
      <w:bookmarkEnd w:id="1"/>
      <w:bookmarkEnd w:id="2"/>
    </w:p>
    <w:p>
      <w:pPr>
        <w:adjustRightInd w:val="0"/>
        <w:snapToGrid w:val="0"/>
        <w:spacing w:line="360" w:lineRule="auto"/>
        <w:jc w:val="center"/>
        <w:rPr>
          <w:rFonts w:hint="eastAsia" w:ascii="宋体" w:hAnsi="宋体" w:cs="宋体"/>
          <w:b/>
          <w:szCs w:val="21"/>
          <w:highlight w:val="none"/>
        </w:rPr>
      </w:pPr>
      <w:r>
        <w:rPr>
          <w:rFonts w:hint="eastAsia" w:ascii="宋体" w:hAnsi="宋体" w:cs="宋体"/>
          <w:b/>
          <w:szCs w:val="21"/>
          <w:highlight w:val="none"/>
        </w:rPr>
        <w:t>重庆新机场</w:t>
      </w:r>
      <w:r>
        <w:rPr>
          <w:rFonts w:hint="eastAsia" w:ascii="宋体" w:hAnsi="宋体" w:cs="宋体"/>
          <w:b/>
          <w:szCs w:val="21"/>
          <w:highlight w:val="none"/>
          <w:lang w:eastAsia="zh-CN"/>
        </w:rPr>
        <w:t>防洪专项研究</w:t>
      </w:r>
      <w:r>
        <w:rPr>
          <w:rFonts w:hint="eastAsia" w:ascii="宋体" w:hAnsi="宋体" w:cs="宋体"/>
          <w:b/>
          <w:szCs w:val="21"/>
          <w:highlight w:val="none"/>
        </w:rPr>
        <w:t>招标公告</w:t>
      </w:r>
    </w:p>
    <w:p>
      <w:pPr>
        <w:pStyle w:val="17"/>
        <w:snapToGrid w:val="0"/>
        <w:spacing w:line="360" w:lineRule="auto"/>
        <w:ind w:firstLine="422" w:firstLineChars="200"/>
        <w:rPr>
          <w:rFonts w:hint="eastAsia" w:hAnsi="宋体" w:eastAsia="宋体" w:cs="宋体"/>
          <w:b/>
          <w:color w:val="auto"/>
          <w:sz w:val="21"/>
          <w:szCs w:val="21"/>
          <w:highlight w:val="none"/>
        </w:rPr>
      </w:pPr>
      <w:bookmarkStart w:id="3" w:name="_Toc197397085"/>
      <w:bookmarkStart w:id="4" w:name="_Toc254360744"/>
      <w:bookmarkStart w:id="5" w:name="_Toc257202648"/>
      <w:bookmarkStart w:id="6" w:name="_Toc262170258"/>
      <w:bookmarkStart w:id="7" w:name="_Toc257663111"/>
      <w:bookmarkStart w:id="8" w:name="_Toc197396147"/>
      <w:r>
        <w:rPr>
          <w:rFonts w:hint="eastAsia" w:hAnsi="宋体" w:eastAsia="宋体" w:cs="宋体"/>
          <w:b/>
          <w:color w:val="auto"/>
          <w:sz w:val="21"/>
          <w:szCs w:val="21"/>
          <w:highlight w:val="none"/>
        </w:rPr>
        <w:t>1、招标条件</w:t>
      </w:r>
    </w:p>
    <w:bookmarkEnd w:id="3"/>
    <w:bookmarkEnd w:id="4"/>
    <w:bookmarkEnd w:id="5"/>
    <w:bookmarkEnd w:id="6"/>
    <w:bookmarkEnd w:id="7"/>
    <w:bookmarkEnd w:id="8"/>
    <w:p>
      <w:pPr>
        <w:pStyle w:val="17"/>
        <w:snapToGrid w:val="0"/>
        <w:spacing w:line="360" w:lineRule="auto"/>
        <w:ind w:firstLine="420" w:firstLineChars="200"/>
        <w:rPr>
          <w:rFonts w:hint="eastAsia" w:hAnsi="宋体" w:eastAsia="宋体" w:cs="宋体"/>
          <w:b/>
          <w:color w:val="auto"/>
          <w:sz w:val="21"/>
          <w:szCs w:val="21"/>
          <w:highlight w:val="none"/>
        </w:rPr>
      </w:pPr>
      <w:bookmarkStart w:id="9" w:name="_Toc197396148"/>
      <w:bookmarkStart w:id="10" w:name="_Toc257202649"/>
      <w:bookmarkStart w:id="11" w:name="_Toc197397086"/>
      <w:bookmarkStart w:id="12" w:name="_Toc254360745"/>
      <w:bookmarkStart w:id="13" w:name="_Toc257663112"/>
      <w:r>
        <w:rPr>
          <w:rFonts w:hint="eastAsia" w:hAnsi="宋体" w:eastAsia="宋体" w:cs="宋体"/>
          <w:color w:val="auto"/>
          <w:sz w:val="21"/>
          <w:szCs w:val="21"/>
          <w:highlight w:val="none"/>
          <w:u w:val="single"/>
        </w:rPr>
        <w:t>重庆新机场</w:t>
      </w:r>
      <w:r>
        <w:rPr>
          <w:rFonts w:hint="eastAsia" w:hAnsi="宋体" w:eastAsia="宋体" w:cs="宋体"/>
          <w:color w:val="auto"/>
          <w:sz w:val="21"/>
          <w:szCs w:val="21"/>
          <w:highlight w:val="none"/>
          <w:u w:val="single"/>
          <w:lang w:eastAsia="zh-CN"/>
        </w:rPr>
        <w:t>防洪专项研究</w:t>
      </w:r>
      <w:r>
        <w:rPr>
          <w:rFonts w:hint="eastAsia" w:hAnsi="宋体" w:eastAsia="宋体" w:cs="宋体"/>
          <w:color w:val="auto"/>
          <w:sz w:val="21"/>
          <w:szCs w:val="21"/>
          <w:highlight w:val="none"/>
          <w:u w:val="none"/>
          <w:lang w:eastAsia="zh-CN"/>
        </w:rPr>
        <w:t>项目</w:t>
      </w:r>
      <w:r>
        <w:rPr>
          <w:rFonts w:hint="eastAsia" w:hAnsi="宋体" w:eastAsia="宋体" w:cs="宋体"/>
          <w:color w:val="auto"/>
          <w:sz w:val="21"/>
          <w:szCs w:val="21"/>
          <w:highlight w:val="none"/>
        </w:rPr>
        <w:t>已批准，招标人为</w:t>
      </w:r>
      <w:r>
        <w:rPr>
          <w:rFonts w:hint="eastAsia" w:hAnsi="宋体" w:eastAsia="宋体" w:cs="宋体"/>
          <w:color w:val="auto"/>
          <w:sz w:val="21"/>
          <w:szCs w:val="21"/>
          <w:highlight w:val="none"/>
          <w:u w:val="single"/>
        </w:rPr>
        <w:t>重庆机场集团有限公司</w:t>
      </w:r>
      <w:r>
        <w:rPr>
          <w:rFonts w:hint="eastAsia" w:hAnsi="宋体" w:eastAsia="宋体" w:cs="宋体"/>
          <w:color w:val="auto"/>
          <w:sz w:val="21"/>
          <w:szCs w:val="21"/>
          <w:highlight w:val="none"/>
        </w:rPr>
        <w:t>。本项目已具备招标条件，现进行公开招标。</w:t>
      </w:r>
    </w:p>
    <w:p>
      <w:pPr>
        <w:pStyle w:val="17"/>
        <w:snapToGrid w:val="0"/>
        <w:spacing w:line="360" w:lineRule="auto"/>
        <w:ind w:firstLine="422" w:firstLineChars="200"/>
        <w:rPr>
          <w:rFonts w:hint="eastAsia" w:hAnsi="宋体" w:eastAsia="宋体" w:cs="宋体"/>
          <w:b/>
          <w:color w:val="auto"/>
          <w:sz w:val="21"/>
          <w:szCs w:val="21"/>
          <w:highlight w:val="none"/>
        </w:rPr>
      </w:pPr>
      <w:r>
        <w:rPr>
          <w:rFonts w:hint="eastAsia" w:hAnsi="宋体" w:eastAsia="宋体" w:cs="宋体"/>
          <w:b/>
          <w:color w:val="auto"/>
          <w:sz w:val="21"/>
          <w:szCs w:val="21"/>
          <w:highlight w:val="none"/>
        </w:rPr>
        <w:t>2、项目概况和招标范围</w:t>
      </w:r>
    </w:p>
    <w:p>
      <w:pPr>
        <w:pStyle w:val="17"/>
        <w:snapToGrid w:val="0"/>
        <w:spacing w:line="360" w:lineRule="auto"/>
        <w:ind w:firstLine="420" w:firstLineChars="200"/>
        <w:rPr>
          <w:rFonts w:hint="eastAsia" w:hAnsi="宋体" w:eastAsia="宋体" w:cs="宋体"/>
          <w:color w:val="auto"/>
          <w:sz w:val="21"/>
          <w:szCs w:val="21"/>
          <w:highlight w:val="none"/>
        </w:rPr>
      </w:pPr>
      <w:r>
        <w:rPr>
          <w:rFonts w:hint="eastAsia" w:hAnsi="宋体" w:eastAsia="宋体" w:cs="宋体"/>
          <w:color w:val="auto"/>
          <w:sz w:val="21"/>
          <w:szCs w:val="21"/>
          <w:highlight w:val="none"/>
        </w:rPr>
        <w:t>2.1 项目地点：重庆新机场推荐场址</w:t>
      </w:r>
    </w:p>
    <w:p>
      <w:pPr>
        <w:pStyle w:val="17"/>
        <w:snapToGrid w:val="0"/>
        <w:spacing w:line="360" w:lineRule="auto"/>
        <w:ind w:firstLine="420" w:firstLineChars="200"/>
        <w:rPr>
          <w:rFonts w:hint="eastAsia" w:hAnsi="宋体" w:eastAsia="宋体" w:cs="宋体"/>
          <w:color w:val="auto"/>
          <w:sz w:val="21"/>
          <w:szCs w:val="21"/>
          <w:highlight w:val="none"/>
        </w:rPr>
      </w:pPr>
      <w:r>
        <w:rPr>
          <w:rFonts w:hint="eastAsia" w:hAnsi="宋体" w:eastAsia="宋体" w:cs="宋体"/>
          <w:color w:val="auto"/>
          <w:sz w:val="21"/>
          <w:szCs w:val="21"/>
          <w:highlight w:val="none"/>
        </w:rPr>
        <w:t>2.2 项目概况：重庆新机场推荐场址璧山正兴位于重庆主城西部，与朝天门直线距离约48km，处于缙云山与云雾山之间的璧山槽谷，在璧山城区西南，距离约21km，东南侧紧邻丁家街道，北侧临近正兴镇。东南方向离江津城区约20km，西南方向离永川城区约18km。重庆新机场本期计划以2035年为设计目标年，年旅客吞吐量4000万人次，货邮吞吐量100万吨；远期目标年为2050年，年旅客吞吐量7000万人次，货邮吞吐量350万吨。新机场预计规划3-4条3200米-3800米的平行跑道，飞行区等级为4F级，占地约37km²。一期建设任务预计包含新建T1航站楼、两条跑道、综合交通枢纽及相关配套设施，投资</w:t>
      </w:r>
      <w:r>
        <w:rPr>
          <w:rFonts w:hint="eastAsia" w:hAnsi="宋体" w:eastAsia="宋体" w:cs="宋体"/>
          <w:color w:val="auto"/>
          <w:sz w:val="21"/>
          <w:szCs w:val="21"/>
          <w:highlight w:val="none"/>
          <w:lang w:eastAsia="zh-CN"/>
        </w:rPr>
        <w:t>估</w:t>
      </w:r>
      <w:r>
        <w:rPr>
          <w:rFonts w:hint="eastAsia" w:hAnsi="宋体" w:eastAsia="宋体" w:cs="宋体"/>
          <w:color w:val="auto"/>
          <w:sz w:val="21"/>
          <w:szCs w:val="21"/>
          <w:highlight w:val="none"/>
        </w:rPr>
        <w:t>算</w:t>
      </w:r>
      <w:r>
        <w:rPr>
          <w:rFonts w:hint="eastAsia" w:hAnsi="宋体" w:eastAsia="宋体" w:cs="宋体"/>
          <w:color w:val="auto"/>
          <w:sz w:val="21"/>
          <w:szCs w:val="21"/>
          <w:highlight w:val="none"/>
          <w:lang w:eastAsia="zh-CN"/>
        </w:rPr>
        <w:t>约</w:t>
      </w:r>
      <w:r>
        <w:rPr>
          <w:rFonts w:hint="eastAsia" w:hAnsi="宋体" w:eastAsia="宋体" w:cs="宋体"/>
          <w:color w:val="auto"/>
          <w:sz w:val="21"/>
          <w:szCs w:val="21"/>
          <w:highlight w:val="none"/>
        </w:rPr>
        <w:t>450亿元。</w:t>
      </w:r>
    </w:p>
    <w:p>
      <w:pPr>
        <w:pStyle w:val="17"/>
        <w:snapToGrid w:val="0"/>
        <w:spacing w:line="360" w:lineRule="auto"/>
        <w:ind w:firstLine="420" w:firstLineChars="200"/>
        <w:rPr>
          <w:rFonts w:hint="eastAsia" w:hAnsi="宋体" w:eastAsia="宋体" w:cs="宋体"/>
          <w:color w:val="auto"/>
          <w:sz w:val="21"/>
          <w:szCs w:val="21"/>
          <w:highlight w:val="none"/>
        </w:rPr>
      </w:pPr>
      <w:r>
        <w:rPr>
          <w:rFonts w:hint="eastAsia" w:hAnsi="宋体" w:eastAsia="宋体" w:cs="宋体"/>
          <w:color w:val="auto"/>
          <w:sz w:val="21"/>
          <w:szCs w:val="21"/>
          <w:highlight w:val="none"/>
        </w:rPr>
        <w:t>按照新机场开工建设任务安排，新机场将先期开工</w:t>
      </w:r>
      <w:r>
        <w:rPr>
          <w:rFonts w:hint="eastAsia" w:hAnsi="宋体" w:eastAsia="宋体" w:cs="宋体"/>
          <w:color w:val="auto"/>
          <w:sz w:val="21"/>
          <w:szCs w:val="21"/>
          <w:highlight w:val="none"/>
          <w:lang w:eastAsia="zh-CN"/>
        </w:rPr>
        <w:t>综合交通枢纽工程</w:t>
      </w:r>
      <w:r>
        <w:rPr>
          <w:rFonts w:hint="eastAsia" w:hAnsi="宋体" w:eastAsia="宋体" w:cs="宋体"/>
          <w:color w:val="auto"/>
          <w:sz w:val="21"/>
          <w:szCs w:val="21"/>
          <w:highlight w:val="none"/>
        </w:rPr>
        <w:t>，后期开工民航主体工程。目前，我司已委托开展新机场预可研、可研、总规报告编制和</w:t>
      </w:r>
      <w:r>
        <w:rPr>
          <w:rFonts w:hint="eastAsia" w:hAnsi="宋体" w:eastAsia="宋体" w:cs="宋体"/>
          <w:color w:val="auto"/>
          <w:sz w:val="21"/>
          <w:szCs w:val="21"/>
          <w:highlight w:val="none"/>
          <w:lang w:eastAsia="zh-CN"/>
        </w:rPr>
        <w:t>综合交通枢纽工程</w:t>
      </w:r>
      <w:r>
        <w:rPr>
          <w:rFonts w:hint="eastAsia" w:hAnsi="宋体" w:eastAsia="宋体" w:cs="宋体"/>
          <w:color w:val="auto"/>
          <w:sz w:val="21"/>
          <w:szCs w:val="21"/>
          <w:highlight w:val="none"/>
        </w:rPr>
        <w:t>立项（代可研）报告编制工作，为一体化统筹推进配套项目研究，满足</w:t>
      </w:r>
      <w:r>
        <w:rPr>
          <w:rFonts w:hint="eastAsia" w:hAnsi="宋体" w:eastAsia="宋体" w:cs="宋体"/>
          <w:color w:val="auto"/>
          <w:sz w:val="21"/>
          <w:szCs w:val="21"/>
          <w:highlight w:val="none"/>
          <w:lang w:eastAsia="zh-CN"/>
        </w:rPr>
        <w:t>新</w:t>
      </w:r>
      <w:r>
        <w:rPr>
          <w:rFonts w:hint="eastAsia" w:hAnsi="宋体" w:eastAsia="宋体" w:cs="宋体"/>
          <w:color w:val="auto"/>
          <w:sz w:val="21"/>
          <w:szCs w:val="21"/>
          <w:highlight w:val="none"/>
        </w:rPr>
        <w:t>机场工程预可研、可研、总规报告审批过程中机场防洪排涝的要求，现开展重庆新机场</w:t>
      </w:r>
      <w:r>
        <w:rPr>
          <w:rFonts w:hint="eastAsia" w:hAnsi="宋体" w:eastAsia="宋体" w:cs="宋体"/>
          <w:color w:val="auto"/>
          <w:sz w:val="21"/>
          <w:szCs w:val="21"/>
          <w:highlight w:val="none"/>
          <w:lang w:eastAsia="zh-CN"/>
        </w:rPr>
        <w:t>防洪专项研究</w:t>
      </w:r>
      <w:r>
        <w:rPr>
          <w:rFonts w:hint="eastAsia" w:hAnsi="宋体" w:eastAsia="宋体" w:cs="宋体"/>
          <w:color w:val="auto"/>
          <w:sz w:val="21"/>
          <w:szCs w:val="21"/>
          <w:highlight w:val="none"/>
        </w:rPr>
        <w:t>工作。</w:t>
      </w:r>
    </w:p>
    <w:p>
      <w:pPr>
        <w:pStyle w:val="17"/>
        <w:snapToGrid w:val="0"/>
        <w:spacing w:line="360" w:lineRule="auto"/>
        <w:ind w:firstLine="420" w:firstLineChars="200"/>
        <w:rPr>
          <w:rFonts w:hint="eastAsia" w:hAnsi="宋体" w:eastAsia="宋体" w:cs="宋体"/>
          <w:color w:val="auto"/>
          <w:sz w:val="21"/>
          <w:szCs w:val="21"/>
          <w:highlight w:val="none"/>
          <w:u w:val="single"/>
          <w:lang w:eastAsia="zh-CN"/>
        </w:rPr>
      </w:pPr>
      <w:r>
        <w:rPr>
          <w:rFonts w:hint="eastAsia" w:hAnsi="宋体" w:eastAsia="宋体" w:cs="宋体"/>
          <w:color w:val="auto"/>
          <w:sz w:val="21"/>
          <w:szCs w:val="21"/>
          <w:highlight w:val="none"/>
        </w:rPr>
        <w:t>2.3 本次招标项目合同估算金额：</w:t>
      </w:r>
      <w:r>
        <w:rPr>
          <w:rFonts w:hint="eastAsia" w:hAnsi="宋体" w:eastAsia="宋体" w:cs="宋体"/>
          <w:color w:val="auto"/>
          <w:sz w:val="21"/>
          <w:szCs w:val="21"/>
          <w:highlight w:val="none"/>
          <w:u w:val="single"/>
        </w:rPr>
        <w:t>约</w:t>
      </w:r>
      <w:r>
        <w:rPr>
          <w:rFonts w:hint="eastAsia" w:hAnsi="宋体" w:eastAsia="宋体" w:cs="宋体"/>
          <w:color w:val="auto"/>
          <w:sz w:val="21"/>
          <w:szCs w:val="21"/>
          <w:highlight w:val="none"/>
          <w:u w:val="single"/>
          <w:lang w:val="en-US" w:eastAsia="zh-CN"/>
        </w:rPr>
        <w:t>90</w:t>
      </w:r>
      <w:r>
        <w:rPr>
          <w:rFonts w:hint="eastAsia" w:hAnsi="宋体" w:eastAsia="宋体" w:cs="宋体"/>
          <w:color w:val="auto"/>
          <w:sz w:val="21"/>
          <w:szCs w:val="21"/>
          <w:highlight w:val="none"/>
          <w:u w:val="single"/>
        </w:rPr>
        <w:t>万元</w:t>
      </w:r>
      <w:r>
        <w:rPr>
          <w:rFonts w:hint="eastAsia" w:hAnsi="宋体" w:eastAsia="宋体" w:cs="宋体"/>
          <w:color w:val="auto"/>
          <w:sz w:val="21"/>
          <w:szCs w:val="21"/>
          <w:highlight w:val="none"/>
          <w:u w:val="single"/>
          <w:lang w:eastAsia="zh-CN"/>
        </w:rPr>
        <w:t>（不含增值税）</w:t>
      </w:r>
    </w:p>
    <w:p>
      <w:pPr>
        <w:pStyle w:val="17"/>
        <w:snapToGrid w:val="0"/>
        <w:spacing w:line="360" w:lineRule="auto"/>
        <w:ind w:firstLine="420" w:firstLineChars="200"/>
        <w:rPr>
          <w:rFonts w:hint="eastAsia" w:hAnsi="宋体" w:eastAsia="宋体" w:cs="宋体"/>
          <w:color w:val="auto"/>
          <w:sz w:val="21"/>
          <w:szCs w:val="21"/>
          <w:highlight w:val="none"/>
        </w:rPr>
      </w:pPr>
      <w:r>
        <w:rPr>
          <w:rFonts w:hint="eastAsia" w:hAnsi="宋体" w:eastAsia="宋体" w:cs="宋体"/>
          <w:color w:val="auto"/>
          <w:sz w:val="21"/>
          <w:szCs w:val="21"/>
          <w:highlight w:val="none"/>
        </w:rPr>
        <w:t>2.4 服务周期：</w:t>
      </w:r>
    </w:p>
    <w:p>
      <w:pPr>
        <w:pStyle w:val="17"/>
        <w:snapToGrid w:val="0"/>
        <w:spacing w:line="360" w:lineRule="auto"/>
        <w:ind w:firstLine="420" w:firstLineChars="200"/>
        <w:rPr>
          <w:rFonts w:hint="eastAsia" w:hAnsi="宋体" w:eastAsia="宋体" w:cs="宋体"/>
          <w:color w:val="auto"/>
          <w:sz w:val="21"/>
          <w:szCs w:val="21"/>
          <w:highlight w:val="none"/>
          <w:u w:val="single"/>
        </w:rPr>
      </w:pPr>
      <w:r>
        <w:rPr>
          <w:rFonts w:hint="eastAsia" w:hAnsi="宋体" w:eastAsia="宋体" w:cs="宋体"/>
          <w:color w:val="auto"/>
          <w:sz w:val="21"/>
          <w:szCs w:val="21"/>
          <w:highlight w:val="none"/>
          <w:u w:val="single"/>
        </w:rPr>
        <w:t>2.4.1 自招标人正式书面通知之日起，</w:t>
      </w:r>
      <w:r>
        <w:rPr>
          <w:rFonts w:hint="eastAsia" w:hAnsi="宋体" w:eastAsia="宋体" w:cs="宋体"/>
          <w:color w:val="auto"/>
          <w:sz w:val="21"/>
          <w:szCs w:val="21"/>
          <w:highlight w:val="none"/>
          <w:u w:val="single"/>
          <w:lang w:eastAsia="zh-CN"/>
        </w:rPr>
        <w:t>80个日历天</w:t>
      </w:r>
      <w:r>
        <w:rPr>
          <w:rFonts w:hint="eastAsia" w:hAnsi="宋体" w:eastAsia="宋体" w:cs="宋体"/>
          <w:color w:val="auto"/>
          <w:sz w:val="21"/>
          <w:szCs w:val="21"/>
          <w:highlight w:val="none"/>
          <w:u w:val="single"/>
        </w:rPr>
        <w:t>内完成</w:t>
      </w:r>
      <w:r>
        <w:rPr>
          <w:rFonts w:hint="eastAsia" w:hAnsi="宋体" w:eastAsia="宋体" w:cs="宋体"/>
          <w:color w:val="auto"/>
          <w:sz w:val="21"/>
          <w:szCs w:val="21"/>
          <w:highlight w:val="none"/>
          <w:u w:val="single"/>
          <w:lang w:eastAsia="zh-CN"/>
        </w:rPr>
        <w:t>防洪专项研究</w:t>
      </w:r>
      <w:r>
        <w:rPr>
          <w:rFonts w:hint="eastAsia" w:hAnsi="宋体" w:eastAsia="宋体" w:cs="宋体"/>
          <w:color w:val="auto"/>
          <w:sz w:val="21"/>
          <w:szCs w:val="21"/>
          <w:highlight w:val="none"/>
          <w:u w:val="single"/>
        </w:rPr>
        <w:t>工作报告，经业主审核</w:t>
      </w:r>
      <w:r>
        <w:rPr>
          <w:rFonts w:hint="eastAsia" w:hAnsi="宋体" w:eastAsia="宋体" w:cs="宋体"/>
          <w:color w:val="auto"/>
          <w:sz w:val="21"/>
          <w:szCs w:val="21"/>
          <w:highlight w:val="none"/>
          <w:u w:val="single"/>
          <w:lang w:eastAsia="zh-CN"/>
        </w:rPr>
        <w:t>和</w:t>
      </w:r>
      <w:r>
        <w:rPr>
          <w:rFonts w:hint="eastAsia" w:hAnsi="宋体" w:eastAsia="宋体" w:cs="宋体"/>
          <w:color w:val="auto"/>
          <w:sz w:val="21"/>
          <w:szCs w:val="21"/>
          <w:highlight w:val="none"/>
          <w:u w:val="single"/>
        </w:rPr>
        <w:t>行业内专家评审通过</w:t>
      </w:r>
      <w:r>
        <w:rPr>
          <w:rFonts w:hint="eastAsia" w:hAnsi="宋体" w:eastAsia="宋体" w:cs="宋体"/>
          <w:color w:val="auto"/>
          <w:sz w:val="21"/>
          <w:szCs w:val="21"/>
          <w:highlight w:val="none"/>
          <w:u w:val="single"/>
          <w:lang w:eastAsia="zh-CN"/>
        </w:rPr>
        <w:t>，</w:t>
      </w:r>
      <w:r>
        <w:rPr>
          <w:rFonts w:hint="eastAsia" w:hAnsi="宋体" w:eastAsia="宋体" w:cs="宋体"/>
          <w:color w:val="auto"/>
          <w:sz w:val="21"/>
          <w:szCs w:val="21"/>
          <w:highlight w:val="none"/>
          <w:u w:val="single"/>
        </w:rPr>
        <w:t>并满足</w:t>
      </w:r>
      <w:r>
        <w:rPr>
          <w:rFonts w:hint="eastAsia" w:hAnsi="宋体" w:eastAsia="宋体" w:cs="宋体"/>
          <w:color w:val="auto"/>
          <w:sz w:val="21"/>
          <w:szCs w:val="21"/>
          <w:highlight w:val="none"/>
          <w:u w:val="single"/>
          <w:lang w:eastAsia="zh-CN"/>
        </w:rPr>
        <w:t>新</w:t>
      </w:r>
      <w:r>
        <w:rPr>
          <w:rFonts w:hint="eastAsia" w:hAnsi="宋体" w:eastAsia="宋体" w:cs="宋体"/>
          <w:color w:val="auto"/>
          <w:sz w:val="21"/>
          <w:szCs w:val="21"/>
          <w:highlight w:val="none"/>
          <w:u w:val="single"/>
        </w:rPr>
        <w:t>机场工程预可研、可研、总规报告审批过程中机场防洪排涝的要求。</w:t>
      </w:r>
    </w:p>
    <w:p>
      <w:pPr>
        <w:pStyle w:val="17"/>
        <w:snapToGrid w:val="0"/>
        <w:spacing w:line="360" w:lineRule="auto"/>
        <w:ind w:firstLine="420" w:firstLineChars="200"/>
        <w:rPr>
          <w:rFonts w:hint="eastAsia" w:hAnsi="宋体" w:eastAsia="宋体" w:cs="宋体"/>
          <w:color w:val="auto"/>
          <w:sz w:val="21"/>
          <w:szCs w:val="21"/>
          <w:highlight w:val="none"/>
        </w:rPr>
      </w:pPr>
      <w:r>
        <w:rPr>
          <w:rFonts w:hint="eastAsia" w:hAnsi="宋体" w:eastAsia="宋体" w:cs="宋体"/>
          <w:color w:val="auto"/>
          <w:sz w:val="21"/>
          <w:szCs w:val="21"/>
          <w:highlight w:val="none"/>
          <w:u w:val="single"/>
        </w:rPr>
        <w:t>2.4.</w:t>
      </w:r>
      <w:r>
        <w:rPr>
          <w:rFonts w:hint="eastAsia" w:hAnsi="宋体" w:eastAsia="宋体" w:cs="宋体"/>
          <w:color w:val="auto"/>
          <w:sz w:val="21"/>
          <w:szCs w:val="21"/>
          <w:highlight w:val="none"/>
          <w:u w:val="single"/>
          <w:lang w:val="en-US" w:eastAsia="zh-CN"/>
        </w:rPr>
        <w:t>2</w:t>
      </w:r>
      <w:r>
        <w:rPr>
          <w:rFonts w:hint="eastAsia" w:hAnsi="宋体" w:eastAsia="宋体" w:cs="宋体"/>
          <w:color w:val="auto"/>
          <w:sz w:val="21"/>
          <w:szCs w:val="21"/>
          <w:highlight w:val="none"/>
          <w:u w:val="single"/>
        </w:rPr>
        <w:t xml:space="preserve"> 与本项目相关的后续支持服务工作具体时间以招标人通知为准。</w:t>
      </w:r>
    </w:p>
    <w:p>
      <w:pPr>
        <w:pStyle w:val="17"/>
        <w:snapToGrid w:val="0"/>
        <w:spacing w:line="360" w:lineRule="auto"/>
        <w:ind w:firstLine="420" w:firstLineChars="200"/>
        <w:rPr>
          <w:rFonts w:hint="eastAsia" w:hAnsi="宋体" w:eastAsia="宋体" w:cs="宋体"/>
          <w:color w:val="auto"/>
          <w:sz w:val="21"/>
          <w:szCs w:val="21"/>
          <w:highlight w:val="none"/>
        </w:rPr>
      </w:pPr>
      <w:r>
        <w:rPr>
          <w:rFonts w:hint="eastAsia" w:hAnsi="宋体" w:eastAsia="宋体" w:cs="宋体"/>
          <w:color w:val="auto"/>
          <w:sz w:val="21"/>
          <w:szCs w:val="21"/>
          <w:highlight w:val="none"/>
        </w:rPr>
        <w:t>2.5 招标范围：</w:t>
      </w:r>
    </w:p>
    <w:p>
      <w:pPr>
        <w:pStyle w:val="17"/>
        <w:snapToGrid w:val="0"/>
        <w:spacing w:line="360" w:lineRule="auto"/>
        <w:ind w:firstLine="420" w:firstLineChars="200"/>
        <w:rPr>
          <w:rFonts w:hint="eastAsia" w:hAnsi="宋体" w:eastAsia="宋体" w:cs="宋体"/>
          <w:color w:val="auto"/>
          <w:sz w:val="21"/>
          <w:szCs w:val="21"/>
          <w:highlight w:val="none"/>
          <w:u w:val="single"/>
        </w:rPr>
      </w:pPr>
      <w:r>
        <w:rPr>
          <w:rFonts w:hint="eastAsia" w:hAnsi="宋体" w:eastAsia="宋体" w:cs="宋体"/>
          <w:color w:val="auto"/>
          <w:sz w:val="21"/>
          <w:szCs w:val="21"/>
          <w:highlight w:val="none"/>
          <w:u w:val="single"/>
        </w:rPr>
        <w:t>2.5.1 根据招标人提供的招标要求，符合国家规定的防洪标准、岸线规划、土地利用总体规划、城乡规划和航运要求及其他技术要</w:t>
      </w:r>
      <w:r>
        <w:rPr>
          <w:rFonts w:hint="eastAsia" w:hAnsi="宋体" w:eastAsia="宋体" w:cs="宋体"/>
          <w:color w:val="auto"/>
          <w:sz w:val="21"/>
          <w:szCs w:val="21"/>
          <w:highlight w:val="none"/>
          <w:u w:val="single"/>
          <w:lang w:eastAsia="zh-CN"/>
        </w:rPr>
        <w:t>求，为避免重庆新机场建设</w:t>
      </w:r>
      <w:r>
        <w:rPr>
          <w:rFonts w:hint="eastAsia" w:hAnsi="宋体" w:eastAsia="宋体" w:cs="宋体"/>
          <w:color w:val="auto"/>
          <w:sz w:val="21"/>
          <w:szCs w:val="21"/>
          <w:highlight w:val="none"/>
          <w:u w:val="single"/>
        </w:rPr>
        <w:t>影响河势稳定、行洪畅通、堤防安全和航运安全</w:t>
      </w:r>
      <w:r>
        <w:rPr>
          <w:rFonts w:hint="eastAsia" w:hAnsi="宋体" w:eastAsia="宋体" w:cs="宋体"/>
          <w:color w:val="auto"/>
          <w:sz w:val="21"/>
          <w:szCs w:val="21"/>
          <w:highlight w:val="none"/>
          <w:u w:val="single"/>
          <w:lang w:eastAsia="zh-CN"/>
        </w:rPr>
        <w:t>，</w:t>
      </w:r>
      <w:r>
        <w:rPr>
          <w:rFonts w:hint="eastAsia" w:hAnsi="宋体" w:eastAsia="宋体" w:cs="宋体"/>
          <w:color w:val="auto"/>
          <w:sz w:val="21"/>
          <w:szCs w:val="21"/>
          <w:highlight w:val="none"/>
          <w:u w:val="single"/>
        </w:rPr>
        <w:t>结合重庆新机场建设项目情况，开展重庆新机场</w:t>
      </w:r>
      <w:r>
        <w:rPr>
          <w:rFonts w:hint="eastAsia" w:hAnsi="宋体" w:eastAsia="宋体" w:cs="宋体"/>
          <w:color w:val="auto"/>
          <w:sz w:val="21"/>
          <w:szCs w:val="21"/>
          <w:highlight w:val="none"/>
          <w:u w:val="single"/>
          <w:lang w:eastAsia="zh-CN"/>
        </w:rPr>
        <w:t>防洪专项研究</w:t>
      </w:r>
      <w:r>
        <w:rPr>
          <w:rFonts w:hint="eastAsia" w:hAnsi="宋体" w:eastAsia="宋体" w:cs="宋体"/>
          <w:color w:val="auto"/>
          <w:sz w:val="21"/>
          <w:szCs w:val="21"/>
          <w:highlight w:val="none"/>
          <w:u w:val="single"/>
        </w:rPr>
        <w:t>工作，</w:t>
      </w:r>
      <w:r>
        <w:rPr>
          <w:rFonts w:hint="eastAsia" w:hAnsi="宋体" w:eastAsia="宋体" w:cs="宋体"/>
          <w:color w:val="auto"/>
          <w:sz w:val="21"/>
          <w:szCs w:val="21"/>
          <w:highlight w:val="none"/>
          <w:u w:val="single"/>
          <w:lang w:eastAsia="zh-CN"/>
        </w:rPr>
        <w:t>分别对重庆新机场规划红线区域（约</w:t>
      </w:r>
      <w:r>
        <w:rPr>
          <w:rFonts w:hint="eastAsia" w:hAnsi="宋体" w:eastAsia="宋体" w:cs="宋体"/>
          <w:color w:val="auto"/>
          <w:sz w:val="21"/>
          <w:szCs w:val="21"/>
          <w:highlight w:val="none"/>
          <w:u w:val="single"/>
          <w:lang w:val="en-US" w:eastAsia="zh-CN"/>
        </w:rPr>
        <w:t>37km²，以下简称远期）和其中包含的一期建设区域（约21km²，以下简称近期）</w:t>
      </w:r>
      <w:r>
        <w:rPr>
          <w:rFonts w:hint="eastAsia" w:hAnsi="宋体" w:eastAsia="宋体" w:cs="宋体"/>
          <w:color w:val="auto"/>
          <w:sz w:val="21"/>
          <w:szCs w:val="21"/>
          <w:highlight w:val="none"/>
          <w:u w:val="single"/>
          <w:lang w:eastAsia="zh-CN"/>
        </w:rPr>
        <w:t>所涉水系进行研究和规划，其中近期规划应基于远期规划的研究成果开展。工作内容包括但不限于</w:t>
      </w:r>
      <w:r>
        <w:rPr>
          <w:rFonts w:hint="eastAsia" w:hAnsi="宋体" w:eastAsia="宋体" w:cs="宋体"/>
          <w:color w:val="auto"/>
          <w:sz w:val="21"/>
          <w:szCs w:val="21"/>
          <w:highlight w:val="none"/>
          <w:u w:val="single"/>
        </w:rPr>
        <w:t>调查水系现状、开展水文分析、规划总体布局、设计涉河方案</w:t>
      </w:r>
      <w:r>
        <w:rPr>
          <w:rFonts w:hint="eastAsia" w:hAnsi="宋体" w:eastAsia="宋体" w:cs="宋体"/>
          <w:color w:val="auto"/>
          <w:sz w:val="21"/>
          <w:szCs w:val="21"/>
          <w:highlight w:val="none"/>
          <w:u w:val="single"/>
          <w:lang w:eastAsia="zh-CN"/>
        </w:rPr>
        <w:t>、</w:t>
      </w:r>
      <w:r>
        <w:rPr>
          <w:rFonts w:hint="eastAsia" w:hAnsi="宋体" w:eastAsia="宋体" w:cs="宋体"/>
          <w:color w:val="auto"/>
          <w:sz w:val="21"/>
          <w:szCs w:val="21"/>
          <w:highlight w:val="none"/>
          <w:u w:val="single"/>
        </w:rPr>
        <w:t>确定初步</w:t>
      </w:r>
      <w:r>
        <w:rPr>
          <w:rFonts w:hint="eastAsia" w:hAnsi="宋体" w:eastAsia="宋体" w:cs="宋体"/>
          <w:color w:val="auto"/>
          <w:sz w:val="21"/>
          <w:szCs w:val="21"/>
          <w:highlight w:val="none"/>
          <w:u w:val="single"/>
          <w:lang w:eastAsia="zh-CN"/>
        </w:rPr>
        <w:t>河道</w:t>
      </w:r>
      <w:r>
        <w:rPr>
          <w:rFonts w:hint="eastAsia" w:hAnsi="宋体" w:eastAsia="宋体" w:cs="宋体"/>
          <w:color w:val="auto"/>
          <w:sz w:val="21"/>
          <w:szCs w:val="21"/>
          <w:highlight w:val="none"/>
          <w:u w:val="single"/>
        </w:rPr>
        <w:t>治理方案</w:t>
      </w:r>
      <w:r>
        <w:rPr>
          <w:rFonts w:hint="eastAsia" w:hAnsi="宋体" w:eastAsia="宋体" w:cs="宋体"/>
          <w:color w:val="auto"/>
          <w:sz w:val="21"/>
          <w:szCs w:val="21"/>
          <w:highlight w:val="none"/>
          <w:u w:val="single"/>
          <w:lang w:eastAsia="zh-CN"/>
        </w:rPr>
        <w:t>，以及</w:t>
      </w:r>
      <w:r>
        <w:rPr>
          <w:rFonts w:hint="eastAsia" w:hAnsi="宋体" w:eastAsia="宋体" w:cs="宋体"/>
          <w:color w:val="auto"/>
          <w:sz w:val="21"/>
          <w:szCs w:val="21"/>
          <w:highlight w:val="none"/>
          <w:u w:val="single"/>
        </w:rPr>
        <w:t>其他需要配合研究的内容，</w:t>
      </w:r>
      <w:r>
        <w:rPr>
          <w:rFonts w:hint="eastAsia" w:hAnsi="宋体" w:eastAsia="宋体" w:cs="宋体"/>
          <w:color w:val="auto"/>
          <w:sz w:val="21"/>
          <w:szCs w:val="21"/>
          <w:highlight w:val="none"/>
          <w:u w:val="single"/>
          <w:lang w:eastAsia="zh-CN"/>
        </w:rPr>
        <w:t>如：</w:t>
      </w:r>
      <w:r>
        <w:rPr>
          <w:rFonts w:hint="eastAsia" w:hAnsi="宋体" w:eastAsia="宋体" w:cs="宋体"/>
          <w:color w:val="auto"/>
          <w:sz w:val="21"/>
          <w:szCs w:val="21"/>
          <w:highlight w:val="none"/>
          <w:u w:val="single"/>
        </w:rPr>
        <w:t>场区标高</w:t>
      </w:r>
      <w:r>
        <w:rPr>
          <w:rFonts w:hint="eastAsia" w:hAnsi="宋体" w:eastAsia="宋体" w:cs="宋体"/>
          <w:color w:val="auto"/>
          <w:sz w:val="21"/>
          <w:szCs w:val="21"/>
          <w:highlight w:val="none"/>
          <w:u w:val="single"/>
          <w:lang w:eastAsia="zh-CN"/>
        </w:rPr>
        <w:t>，</w:t>
      </w:r>
      <w:r>
        <w:rPr>
          <w:rFonts w:hint="eastAsia" w:hAnsi="宋体" w:eastAsia="宋体" w:cs="宋体"/>
          <w:color w:val="auto"/>
          <w:sz w:val="21"/>
          <w:szCs w:val="21"/>
          <w:highlight w:val="none"/>
          <w:u w:val="single"/>
        </w:rPr>
        <w:t>机场</w:t>
      </w:r>
      <w:r>
        <w:rPr>
          <w:rFonts w:hint="eastAsia" w:hAnsi="宋体" w:eastAsia="宋体" w:cs="宋体"/>
          <w:color w:val="auto"/>
          <w:sz w:val="21"/>
          <w:szCs w:val="21"/>
          <w:highlight w:val="none"/>
          <w:u w:val="single"/>
          <w:lang w:eastAsia="zh-CN"/>
        </w:rPr>
        <w:t>近期和远期</w:t>
      </w:r>
      <w:r>
        <w:rPr>
          <w:rFonts w:hint="eastAsia" w:hAnsi="宋体" w:eastAsia="宋体" w:cs="宋体"/>
          <w:color w:val="auto"/>
          <w:sz w:val="21"/>
          <w:szCs w:val="21"/>
          <w:highlight w:val="none"/>
          <w:u w:val="single"/>
        </w:rPr>
        <w:t>防洪措施</w:t>
      </w:r>
      <w:r>
        <w:rPr>
          <w:rFonts w:hint="eastAsia" w:hAnsi="宋体" w:eastAsia="宋体" w:cs="宋体"/>
          <w:color w:val="auto"/>
          <w:sz w:val="21"/>
          <w:szCs w:val="21"/>
          <w:highlight w:val="none"/>
          <w:u w:val="single"/>
          <w:lang w:eastAsia="zh-CN"/>
        </w:rPr>
        <w:t>，</w:t>
      </w:r>
      <w:r>
        <w:rPr>
          <w:rFonts w:hint="eastAsia" w:hAnsi="宋体" w:eastAsia="宋体" w:cs="宋体"/>
          <w:color w:val="auto"/>
          <w:sz w:val="21"/>
          <w:szCs w:val="21"/>
          <w:highlight w:val="none"/>
          <w:u w:val="single"/>
        </w:rPr>
        <w:t>调蓄水池规划</w:t>
      </w:r>
      <w:r>
        <w:rPr>
          <w:rFonts w:hint="eastAsia" w:hAnsi="宋体" w:eastAsia="宋体" w:cs="宋体"/>
          <w:color w:val="auto"/>
          <w:sz w:val="21"/>
          <w:szCs w:val="21"/>
          <w:highlight w:val="none"/>
          <w:u w:val="single"/>
          <w:lang w:eastAsia="zh-CN"/>
        </w:rPr>
        <w:t>，</w:t>
      </w:r>
      <w:r>
        <w:rPr>
          <w:rFonts w:hint="eastAsia" w:hAnsi="宋体" w:eastAsia="宋体" w:cs="宋体"/>
          <w:color w:val="auto"/>
          <w:sz w:val="21"/>
          <w:szCs w:val="21"/>
          <w:highlight w:val="none"/>
          <w:u w:val="single"/>
        </w:rPr>
        <w:t>机场</w:t>
      </w:r>
      <w:r>
        <w:rPr>
          <w:rFonts w:hint="eastAsia" w:hAnsi="宋体" w:eastAsia="宋体" w:cs="宋体"/>
          <w:color w:val="auto"/>
          <w:sz w:val="21"/>
          <w:szCs w:val="21"/>
          <w:highlight w:val="none"/>
          <w:u w:val="single"/>
          <w:lang w:eastAsia="zh-CN"/>
        </w:rPr>
        <w:t>近期和远期</w:t>
      </w:r>
      <w:r>
        <w:rPr>
          <w:rFonts w:hint="eastAsia" w:hAnsi="宋体" w:eastAsia="宋体" w:cs="宋体"/>
          <w:color w:val="auto"/>
          <w:sz w:val="21"/>
          <w:szCs w:val="21"/>
          <w:highlight w:val="none"/>
          <w:u w:val="single"/>
        </w:rPr>
        <w:t>规划范围的外排水方案等。</w:t>
      </w:r>
      <w:r>
        <w:rPr>
          <w:rFonts w:hint="eastAsia" w:hAnsi="宋体" w:eastAsia="宋体" w:cs="宋体"/>
          <w:color w:val="auto"/>
          <w:sz w:val="21"/>
          <w:szCs w:val="21"/>
          <w:highlight w:val="none"/>
          <w:u w:val="single"/>
          <w:lang w:eastAsia="zh-CN"/>
        </w:rPr>
        <w:t>为</w:t>
      </w:r>
      <w:r>
        <w:rPr>
          <w:rFonts w:hint="eastAsia" w:hAnsi="宋体" w:eastAsia="宋体" w:cs="宋体"/>
          <w:color w:val="auto"/>
          <w:sz w:val="21"/>
          <w:szCs w:val="21"/>
          <w:highlight w:val="none"/>
          <w:u w:val="single"/>
        </w:rPr>
        <w:t>重庆新机场预可研、可研、总规报告编制和审批</w:t>
      </w:r>
      <w:r>
        <w:rPr>
          <w:rFonts w:hint="eastAsia" w:hAnsi="宋体" w:eastAsia="宋体" w:cs="宋体"/>
          <w:color w:val="auto"/>
          <w:sz w:val="21"/>
          <w:szCs w:val="21"/>
          <w:highlight w:val="none"/>
          <w:u w:val="single"/>
          <w:lang w:eastAsia="zh-CN"/>
        </w:rPr>
        <w:t>，综合交通枢纽工程</w:t>
      </w:r>
      <w:r>
        <w:rPr>
          <w:rFonts w:hint="eastAsia" w:hAnsi="宋体" w:eastAsia="宋体" w:cs="宋体"/>
          <w:color w:val="auto"/>
          <w:sz w:val="21"/>
          <w:szCs w:val="21"/>
          <w:highlight w:val="none"/>
          <w:u w:val="single"/>
        </w:rPr>
        <w:t>立项（代可研）报告编制</w:t>
      </w:r>
      <w:r>
        <w:rPr>
          <w:rFonts w:hint="eastAsia" w:hAnsi="宋体" w:eastAsia="宋体" w:cs="宋体"/>
          <w:color w:val="auto"/>
          <w:sz w:val="21"/>
          <w:szCs w:val="21"/>
          <w:highlight w:val="none"/>
          <w:u w:val="single"/>
          <w:lang w:eastAsia="zh-CN"/>
        </w:rPr>
        <w:t>，以及后续的洪水影响评价提供技术支持</w:t>
      </w:r>
      <w:r>
        <w:rPr>
          <w:rFonts w:hint="eastAsia" w:hAnsi="宋体" w:eastAsia="宋体" w:cs="宋体"/>
          <w:color w:val="auto"/>
          <w:sz w:val="21"/>
          <w:szCs w:val="21"/>
          <w:highlight w:val="none"/>
          <w:u w:val="single"/>
        </w:rPr>
        <w:t>。</w:t>
      </w:r>
    </w:p>
    <w:p>
      <w:pPr>
        <w:pStyle w:val="17"/>
        <w:snapToGrid w:val="0"/>
        <w:spacing w:line="360" w:lineRule="auto"/>
        <w:ind w:firstLine="420" w:firstLineChars="200"/>
        <w:rPr>
          <w:rFonts w:hint="eastAsia" w:hAnsi="宋体" w:eastAsia="宋体" w:cs="宋体"/>
          <w:color w:val="auto"/>
          <w:sz w:val="21"/>
          <w:szCs w:val="21"/>
          <w:highlight w:val="none"/>
          <w:u w:val="single"/>
          <w:lang w:eastAsia="zh-CN"/>
        </w:rPr>
      </w:pPr>
      <w:r>
        <w:rPr>
          <w:rFonts w:hint="eastAsia" w:hAnsi="宋体" w:eastAsia="宋体" w:cs="宋体"/>
          <w:color w:val="auto"/>
          <w:sz w:val="21"/>
          <w:szCs w:val="21"/>
          <w:highlight w:val="none"/>
          <w:u w:val="single"/>
          <w:lang w:eastAsia="zh-CN"/>
        </w:rPr>
        <w:t>防洪专项研究</w:t>
      </w:r>
      <w:r>
        <w:rPr>
          <w:rFonts w:hint="eastAsia" w:hAnsi="宋体" w:eastAsia="宋体" w:cs="宋体"/>
          <w:color w:val="auto"/>
          <w:sz w:val="21"/>
          <w:szCs w:val="21"/>
          <w:highlight w:val="none"/>
          <w:u w:val="single"/>
        </w:rPr>
        <w:t>范围应包含重庆新机场</w:t>
      </w:r>
      <w:r>
        <w:rPr>
          <w:rFonts w:hint="eastAsia" w:hAnsi="宋体" w:eastAsia="宋体" w:cs="宋体"/>
          <w:color w:val="auto"/>
          <w:sz w:val="21"/>
          <w:szCs w:val="21"/>
          <w:highlight w:val="none"/>
          <w:u w:val="single"/>
          <w:lang w:eastAsia="zh-CN"/>
        </w:rPr>
        <w:t>近期</w:t>
      </w:r>
      <w:r>
        <w:rPr>
          <w:rFonts w:hint="eastAsia" w:hAnsi="宋体" w:eastAsia="宋体" w:cs="宋体"/>
          <w:color w:val="auto"/>
          <w:sz w:val="21"/>
          <w:szCs w:val="21"/>
          <w:highlight w:val="none"/>
          <w:u w:val="single"/>
          <w:lang w:val="en-US" w:eastAsia="zh-CN"/>
        </w:rPr>
        <w:t>和</w:t>
      </w:r>
      <w:r>
        <w:rPr>
          <w:rFonts w:hint="eastAsia" w:hAnsi="宋体" w:eastAsia="宋体" w:cs="宋体"/>
          <w:color w:val="auto"/>
          <w:sz w:val="21"/>
          <w:szCs w:val="21"/>
          <w:highlight w:val="none"/>
          <w:u w:val="single"/>
          <w:lang w:eastAsia="zh-CN"/>
        </w:rPr>
        <w:t>远期范围</w:t>
      </w:r>
      <w:r>
        <w:rPr>
          <w:rFonts w:hint="eastAsia" w:hAnsi="宋体" w:eastAsia="宋体" w:cs="宋体"/>
          <w:color w:val="auto"/>
          <w:sz w:val="21"/>
          <w:szCs w:val="21"/>
          <w:highlight w:val="none"/>
          <w:u w:val="single"/>
          <w:lang w:val="en-US" w:eastAsia="zh-CN"/>
        </w:rPr>
        <w:t>，以及</w:t>
      </w:r>
      <w:r>
        <w:rPr>
          <w:rFonts w:hint="eastAsia" w:hAnsi="宋体" w:eastAsia="宋体" w:cs="宋体"/>
          <w:color w:val="auto"/>
          <w:sz w:val="21"/>
          <w:szCs w:val="21"/>
          <w:highlight w:val="none"/>
          <w:u w:val="single"/>
        </w:rPr>
        <w:t>工程可能影响的场区外流域或区域。经初步预估，共涉及6条河流（河道总长32.3km），6座水库及12座山坪塘。</w:t>
      </w:r>
      <w:r>
        <w:rPr>
          <w:rFonts w:hint="eastAsia" w:hAnsi="宋体" w:eastAsia="宋体" w:cs="宋体"/>
          <w:color w:val="auto"/>
          <w:sz w:val="21"/>
          <w:szCs w:val="21"/>
          <w:highlight w:val="none"/>
          <w:u w:val="single"/>
          <w:lang w:eastAsia="zh-CN"/>
        </w:rPr>
        <w:t>近期和远期范围图纸详见附件。</w:t>
      </w:r>
    </w:p>
    <w:p>
      <w:pPr>
        <w:pStyle w:val="17"/>
        <w:snapToGrid w:val="0"/>
        <w:spacing w:line="360" w:lineRule="auto"/>
        <w:ind w:firstLine="420" w:firstLineChars="200"/>
        <w:rPr>
          <w:rFonts w:hint="eastAsia" w:hAnsi="宋体" w:eastAsia="宋体" w:cs="宋体"/>
          <w:color w:val="auto"/>
          <w:sz w:val="21"/>
          <w:szCs w:val="21"/>
          <w:highlight w:val="none"/>
          <w:u w:val="single"/>
        </w:rPr>
      </w:pPr>
      <w:r>
        <w:rPr>
          <w:rFonts w:hint="eastAsia" w:hAnsi="宋体" w:eastAsia="宋体" w:cs="宋体"/>
          <w:color w:val="auto"/>
          <w:sz w:val="21"/>
          <w:szCs w:val="21"/>
          <w:highlight w:val="none"/>
          <w:u w:val="single"/>
          <w:lang w:eastAsia="zh-CN"/>
        </w:rPr>
        <w:t>防洪专项研究</w:t>
      </w:r>
      <w:r>
        <w:rPr>
          <w:rFonts w:hint="eastAsia" w:hAnsi="宋体" w:eastAsia="宋体" w:cs="宋体"/>
          <w:color w:val="auto"/>
          <w:sz w:val="21"/>
          <w:szCs w:val="21"/>
          <w:highlight w:val="none"/>
          <w:u w:val="single"/>
        </w:rPr>
        <w:t>成果应满足行业要求</w:t>
      </w:r>
      <w:r>
        <w:rPr>
          <w:rFonts w:hint="eastAsia" w:hAnsi="宋体" w:eastAsia="宋体" w:cs="宋体"/>
          <w:color w:val="auto"/>
          <w:sz w:val="21"/>
          <w:szCs w:val="21"/>
          <w:highlight w:val="none"/>
          <w:u w:val="single"/>
          <w:lang w:eastAsia="zh-CN"/>
        </w:rPr>
        <w:t>，满足</w:t>
      </w:r>
      <w:r>
        <w:rPr>
          <w:rFonts w:hint="eastAsia" w:hAnsi="宋体" w:eastAsia="宋体" w:cs="宋体"/>
          <w:color w:val="auto"/>
          <w:sz w:val="21"/>
          <w:szCs w:val="21"/>
          <w:highlight w:val="none"/>
          <w:u w:val="single"/>
        </w:rPr>
        <w:t>重庆新机场预可研、可研、总规报告编制</w:t>
      </w:r>
      <w:r>
        <w:rPr>
          <w:rFonts w:hint="eastAsia" w:hAnsi="宋体" w:eastAsia="宋体" w:cs="宋体"/>
          <w:color w:val="auto"/>
          <w:sz w:val="21"/>
          <w:szCs w:val="21"/>
          <w:highlight w:val="none"/>
          <w:u w:val="single"/>
          <w:lang w:eastAsia="zh-CN"/>
        </w:rPr>
        <w:t>和综合交通枢纽工程</w:t>
      </w:r>
      <w:r>
        <w:rPr>
          <w:rFonts w:hint="eastAsia" w:hAnsi="宋体" w:eastAsia="宋体" w:cs="宋体"/>
          <w:color w:val="auto"/>
          <w:sz w:val="21"/>
          <w:szCs w:val="21"/>
          <w:highlight w:val="none"/>
          <w:u w:val="single"/>
        </w:rPr>
        <w:t>立项（代可研）报告编制</w:t>
      </w:r>
      <w:r>
        <w:rPr>
          <w:rFonts w:hint="eastAsia" w:hAnsi="宋体" w:eastAsia="宋体" w:cs="宋体"/>
          <w:color w:val="auto"/>
          <w:sz w:val="21"/>
          <w:szCs w:val="21"/>
          <w:highlight w:val="none"/>
          <w:u w:val="single"/>
          <w:lang w:eastAsia="zh-CN"/>
        </w:rPr>
        <w:t>需求，满足重庆新机场</w:t>
      </w:r>
      <w:r>
        <w:rPr>
          <w:rFonts w:hint="eastAsia" w:hAnsi="宋体" w:eastAsia="宋体" w:cs="宋体"/>
          <w:color w:val="auto"/>
          <w:sz w:val="21"/>
          <w:szCs w:val="21"/>
          <w:highlight w:val="none"/>
          <w:u w:val="single"/>
        </w:rPr>
        <w:t>设计、建设需要，经业主审核</w:t>
      </w:r>
      <w:r>
        <w:rPr>
          <w:rFonts w:hint="eastAsia" w:hAnsi="宋体" w:eastAsia="宋体" w:cs="宋体"/>
          <w:color w:val="auto"/>
          <w:sz w:val="21"/>
          <w:szCs w:val="21"/>
          <w:highlight w:val="none"/>
          <w:u w:val="single"/>
          <w:lang w:eastAsia="zh-CN"/>
        </w:rPr>
        <w:t>和</w:t>
      </w:r>
      <w:r>
        <w:rPr>
          <w:rFonts w:hint="eastAsia" w:hAnsi="宋体" w:eastAsia="宋体" w:cs="宋体"/>
          <w:color w:val="auto"/>
          <w:sz w:val="21"/>
          <w:szCs w:val="21"/>
          <w:highlight w:val="none"/>
          <w:u w:val="single"/>
        </w:rPr>
        <w:t>行业内专家评审通过，同时配合完成与本项目相关的后续支持服务，包括但不限于</w:t>
      </w:r>
      <w:r>
        <w:rPr>
          <w:rFonts w:hint="eastAsia" w:hAnsi="宋体" w:eastAsia="宋体" w:cs="宋体"/>
          <w:color w:val="auto"/>
          <w:sz w:val="21"/>
          <w:szCs w:val="21"/>
          <w:highlight w:val="none"/>
          <w:u w:val="single"/>
          <w:lang w:eastAsia="zh-CN"/>
        </w:rPr>
        <w:t>为重庆新机场</w:t>
      </w:r>
      <w:r>
        <w:rPr>
          <w:rFonts w:hint="eastAsia" w:hAnsi="宋体" w:eastAsia="宋体" w:cs="宋体"/>
          <w:color w:val="auto"/>
          <w:sz w:val="21"/>
          <w:szCs w:val="21"/>
          <w:highlight w:val="none"/>
          <w:u w:val="single"/>
        </w:rPr>
        <w:t>预可研、可研、总规报告审批、</w:t>
      </w:r>
      <w:r>
        <w:rPr>
          <w:rFonts w:hint="eastAsia" w:hAnsi="宋体" w:eastAsia="宋体" w:cs="宋体"/>
          <w:color w:val="auto"/>
          <w:sz w:val="21"/>
          <w:szCs w:val="21"/>
          <w:highlight w:val="none"/>
          <w:u w:val="single"/>
          <w:lang w:eastAsia="zh-CN"/>
        </w:rPr>
        <w:t>后续洪水影响评价评审通过提供技术支持，</w:t>
      </w:r>
      <w:r>
        <w:rPr>
          <w:rFonts w:hint="eastAsia" w:hAnsi="宋体" w:eastAsia="宋体" w:cs="宋体"/>
          <w:color w:val="auto"/>
          <w:sz w:val="21"/>
          <w:szCs w:val="21"/>
          <w:highlight w:val="none"/>
          <w:u w:val="single"/>
        </w:rPr>
        <w:t>根据招标人的合理要求免费进行相关汇报及成果更新、提出建议等。</w:t>
      </w:r>
    </w:p>
    <w:p>
      <w:pPr>
        <w:pStyle w:val="17"/>
        <w:snapToGrid w:val="0"/>
        <w:spacing w:line="360" w:lineRule="auto"/>
        <w:ind w:firstLine="420" w:firstLineChars="200"/>
        <w:rPr>
          <w:rFonts w:hint="eastAsia" w:hAnsi="宋体" w:eastAsia="宋体" w:cs="宋体"/>
          <w:color w:val="auto"/>
          <w:sz w:val="21"/>
          <w:szCs w:val="21"/>
          <w:highlight w:val="none"/>
          <w:u w:val="single"/>
        </w:rPr>
      </w:pPr>
      <w:r>
        <w:rPr>
          <w:rFonts w:hint="eastAsia" w:hAnsi="宋体" w:eastAsia="宋体" w:cs="宋体"/>
          <w:color w:val="auto"/>
          <w:sz w:val="21"/>
          <w:szCs w:val="21"/>
          <w:highlight w:val="none"/>
          <w:u w:val="single"/>
        </w:rPr>
        <w:t>2.5.</w:t>
      </w:r>
      <w:r>
        <w:rPr>
          <w:rFonts w:hint="eastAsia" w:hAnsi="宋体" w:eastAsia="宋体" w:cs="宋体"/>
          <w:color w:val="auto"/>
          <w:sz w:val="21"/>
          <w:szCs w:val="21"/>
          <w:highlight w:val="none"/>
          <w:u w:val="single"/>
          <w:lang w:val="en-US" w:eastAsia="zh-CN"/>
        </w:rPr>
        <w:t>2</w:t>
      </w:r>
      <w:r>
        <w:rPr>
          <w:rFonts w:hint="eastAsia" w:hAnsi="宋体" w:eastAsia="宋体" w:cs="宋体"/>
          <w:color w:val="auto"/>
          <w:sz w:val="21"/>
          <w:szCs w:val="21"/>
          <w:highlight w:val="none"/>
          <w:u w:val="single"/>
        </w:rPr>
        <w:t xml:space="preserve"> 技术标准和要求详见第五章。</w:t>
      </w:r>
    </w:p>
    <w:p>
      <w:pPr>
        <w:pStyle w:val="17"/>
        <w:snapToGrid w:val="0"/>
        <w:spacing w:line="360" w:lineRule="auto"/>
        <w:ind w:firstLine="422" w:firstLineChars="200"/>
        <w:rPr>
          <w:rFonts w:hint="eastAsia" w:hAnsi="宋体" w:eastAsia="宋体" w:cs="宋体"/>
          <w:b/>
          <w:color w:val="auto"/>
          <w:sz w:val="21"/>
          <w:szCs w:val="21"/>
          <w:highlight w:val="none"/>
        </w:rPr>
      </w:pPr>
      <w:r>
        <w:rPr>
          <w:rFonts w:hint="eastAsia" w:hAnsi="宋体" w:eastAsia="宋体" w:cs="宋体"/>
          <w:b/>
          <w:color w:val="auto"/>
          <w:sz w:val="21"/>
          <w:szCs w:val="21"/>
          <w:highlight w:val="none"/>
        </w:rPr>
        <w:t>3、投标人资格要求</w:t>
      </w:r>
    </w:p>
    <w:bookmarkEnd w:id="9"/>
    <w:bookmarkEnd w:id="10"/>
    <w:bookmarkEnd w:id="11"/>
    <w:bookmarkEnd w:id="12"/>
    <w:bookmarkEnd w:id="13"/>
    <w:p>
      <w:pPr>
        <w:pStyle w:val="17"/>
        <w:snapToGrid w:val="0"/>
        <w:spacing w:line="360" w:lineRule="auto"/>
        <w:ind w:firstLine="420" w:firstLineChars="200"/>
        <w:rPr>
          <w:rFonts w:hint="eastAsia" w:hAnsi="宋体" w:eastAsia="宋体" w:cs="宋体"/>
          <w:color w:val="auto"/>
          <w:sz w:val="21"/>
          <w:szCs w:val="21"/>
          <w:highlight w:val="none"/>
        </w:rPr>
      </w:pPr>
      <w:r>
        <w:rPr>
          <w:rFonts w:hint="eastAsia" w:hAnsi="宋体" w:eastAsia="宋体" w:cs="宋体"/>
          <w:color w:val="auto"/>
          <w:sz w:val="21"/>
          <w:szCs w:val="21"/>
          <w:highlight w:val="none"/>
        </w:rPr>
        <w:t>3.1 本次招标实行资格后审，投标人应满足下列资格条件要求：</w:t>
      </w:r>
    </w:p>
    <w:p>
      <w:pPr>
        <w:pStyle w:val="17"/>
        <w:snapToGrid w:val="0"/>
        <w:spacing w:line="360" w:lineRule="auto"/>
        <w:ind w:firstLine="420" w:firstLineChars="200"/>
        <w:rPr>
          <w:rFonts w:hint="eastAsia" w:hAnsi="宋体" w:eastAsia="宋体" w:cs="宋体"/>
          <w:color w:val="auto"/>
          <w:sz w:val="21"/>
          <w:szCs w:val="21"/>
          <w:highlight w:val="none"/>
        </w:rPr>
      </w:pPr>
      <w:r>
        <w:rPr>
          <w:rFonts w:hint="eastAsia" w:hAnsi="宋体" w:eastAsia="宋体" w:cs="宋体"/>
          <w:color w:val="auto"/>
          <w:sz w:val="21"/>
          <w:szCs w:val="21"/>
          <w:highlight w:val="none"/>
        </w:rPr>
        <w:t>3.1.1 投标人必须是具有独立承担民事责任能力的在中华人民共和国境内注册的法人组织，具备合法有效的营业执照。</w:t>
      </w:r>
    </w:p>
    <w:p>
      <w:pPr>
        <w:pStyle w:val="17"/>
        <w:snapToGrid w:val="0"/>
        <w:spacing w:line="360" w:lineRule="auto"/>
        <w:ind w:firstLine="420" w:firstLineChars="200"/>
        <w:rPr>
          <w:rFonts w:hint="eastAsia" w:hAnsi="宋体" w:eastAsia="宋体" w:cs="宋体"/>
          <w:color w:val="auto"/>
          <w:sz w:val="21"/>
          <w:szCs w:val="21"/>
          <w:highlight w:val="none"/>
        </w:rPr>
      </w:pPr>
      <w:r>
        <w:rPr>
          <w:rFonts w:hint="eastAsia" w:hAnsi="宋体" w:eastAsia="宋体" w:cs="宋体"/>
          <w:color w:val="auto"/>
          <w:sz w:val="21"/>
          <w:szCs w:val="21"/>
          <w:highlight w:val="none"/>
        </w:rPr>
        <w:t>3.1.2 投标人须具备建设行政主管部门颁发的有效的工程设计水利行业甲级</w:t>
      </w:r>
      <w:r>
        <w:rPr>
          <w:rFonts w:hint="eastAsia" w:hAnsi="宋体" w:eastAsia="宋体" w:cs="宋体"/>
          <w:color w:val="auto"/>
          <w:sz w:val="21"/>
          <w:szCs w:val="21"/>
          <w:highlight w:val="none"/>
          <w:lang w:val="en-US" w:eastAsia="zh-CN"/>
        </w:rPr>
        <w:t>资质或工程设计综合甲级资质</w:t>
      </w:r>
      <w:r>
        <w:rPr>
          <w:rFonts w:hint="eastAsia" w:hAnsi="宋体" w:eastAsia="宋体" w:cs="宋体"/>
          <w:color w:val="auto"/>
          <w:sz w:val="21"/>
          <w:szCs w:val="21"/>
          <w:highlight w:val="none"/>
          <w:lang w:eastAsia="zh-CN"/>
        </w:rPr>
        <w:t>。</w:t>
      </w:r>
    </w:p>
    <w:p>
      <w:pPr>
        <w:pStyle w:val="17"/>
        <w:snapToGrid w:val="0"/>
        <w:spacing w:line="360" w:lineRule="auto"/>
        <w:ind w:firstLine="420" w:firstLineChars="200"/>
        <w:rPr>
          <w:rFonts w:hint="eastAsia" w:hAnsi="宋体" w:eastAsia="宋体" w:cs="宋体"/>
          <w:color w:val="auto"/>
          <w:sz w:val="21"/>
          <w:szCs w:val="21"/>
          <w:highlight w:val="none"/>
        </w:rPr>
      </w:pPr>
      <w:r>
        <w:rPr>
          <w:rFonts w:hint="eastAsia" w:hAnsi="宋体" w:eastAsia="宋体" w:cs="宋体"/>
          <w:color w:val="auto"/>
          <w:sz w:val="21"/>
          <w:szCs w:val="21"/>
          <w:highlight w:val="none"/>
          <w:lang w:val="en-US" w:eastAsia="zh-CN"/>
        </w:rPr>
        <w:t xml:space="preserve">3.1.3 </w:t>
      </w:r>
      <w:r>
        <w:rPr>
          <w:rFonts w:hint="eastAsia" w:hAnsi="宋体" w:eastAsia="宋体" w:cs="宋体"/>
          <w:color w:val="auto"/>
          <w:sz w:val="21"/>
          <w:szCs w:val="21"/>
          <w:highlight w:val="none"/>
        </w:rPr>
        <w:t xml:space="preserve">其它要求详见投标人须知前附表1.4.1项。            </w:t>
      </w:r>
    </w:p>
    <w:p>
      <w:pPr>
        <w:pStyle w:val="17"/>
        <w:snapToGrid w:val="0"/>
        <w:spacing w:line="360" w:lineRule="auto"/>
        <w:ind w:firstLine="420" w:firstLineChars="200"/>
        <w:rPr>
          <w:rFonts w:hint="eastAsia" w:hAnsi="宋体" w:eastAsia="宋体" w:cs="宋体"/>
          <w:color w:val="auto"/>
          <w:sz w:val="21"/>
          <w:szCs w:val="21"/>
          <w:highlight w:val="none"/>
        </w:rPr>
      </w:pPr>
      <w:r>
        <w:rPr>
          <w:rFonts w:hint="eastAsia" w:hAnsi="宋体" w:eastAsia="宋体" w:cs="宋体"/>
          <w:color w:val="auto"/>
          <w:sz w:val="21"/>
          <w:szCs w:val="21"/>
          <w:highlight w:val="none"/>
        </w:rPr>
        <w:t>3.2 本次招标不接受联合体投标。</w:t>
      </w:r>
    </w:p>
    <w:p>
      <w:pPr>
        <w:pStyle w:val="17"/>
        <w:snapToGrid w:val="0"/>
        <w:spacing w:line="360" w:lineRule="auto"/>
        <w:ind w:firstLine="422" w:firstLineChars="200"/>
        <w:rPr>
          <w:rFonts w:hint="eastAsia" w:hAnsi="宋体" w:eastAsia="宋体" w:cs="宋体"/>
          <w:b/>
          <w:color w:val="auto"/>
          <w:sz w:val="21"/>
          <w:szCs w:val="21"/>
          <w:highlight w:val="none"/>
        </w:rPr>
      </w:pPr>
      <w:r>
        <w:rPr>
          <w:rFonts w:hint="eastAsia" w:hAnsi="宋体" w:eastAsia="宋体" w:cs="宋体"/>
          <w:b/>
          <w:color w:val="auto"/>
          <w:sz w:val="21"/>
          <w:szCs w:val="21"/>
          <w:highlight w:val="none"/>
        </w:rPr>
        <w:t>4、招标文件的获取</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360" w:lineRule="auto"/>
        <w:ind w:firstLine="420" w:firstLineChars="200"/>
        <w:rPr>
          <w:rFonts w:hint="eastAsia" w:ascii="宋体" w:hAnsi="宋体" w:cs="宋体"/>
          <w:snapToGrid w:val="0"/>
          <w:kern w:val="0"/>
          <w:szCs w:val="21"/>
          <w:highlight w:val="none"/>
        </w:rPr>
      </w:pPr>
      <w:r>
        <w:rPr>
          <w:rFonts w:hint="eastAsia" w:ascii="宋体" w:hAnsi="宋体" w:cs="宋体"/>
          <w:snapToGrid w:val="0"/>
          <w:kern w:val="0"/>
          <w:szCs w:val="21"/>
          <w:highlight w:val="none"/>
        </w:rPr>
        <w:t>4.1 凡有意参加投标者，请于</w:t>
      </w:r>
      <w:r>
        <w:rPr>
          <w:rFonts w:hint="eastAsia" w:ascii="宋体" w:hAnsi="宋体" w:cs="宋体"/>
          <w:snapToGrid w:val="0"/>
          <w:kern w:val="0"/>
          <w:szCs w:val="21"/>
          <w:highlight w:val="none"/>
          <w:u w:val="single"/>
        </w:rPr>
        <w:t>2022</w:t>
      </w:r>
      <w:r>
        <w:rPr>
          <w:rFonts w:hint="eastAsia" w:ascii="宋体" w:hAnsi="宋体" w:cs="宋体"/>
          <w:snapToGrid w:val="0"/>
          <w:kern w:val="0"/>
          <w:szCs w:val="21"/>
          <w:highlight w:val="none"/>
        </w:rPr>
        <w:t>年</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u w:val="single"/>
          <w:lang w:val="en-US" w:eastAsia="zh-CN"/>
        </w:rPr>
        <w:t>8</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rPr>
        <w:t>月</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u w:val="single"/>
          <w:lang w:val="en-US" w:eastAsia="zh-CN"/>
        </w:rPr>
        <w:t>3</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rPr>
        <w:t>日（北京时间，下同）起在</w:t>
      </w:r>
      <w:r>
        <w:rPr>
          <w:rFonts w:hint="eastAsia" w:ascii="宋体" w:hAnsi="宋体" w:cs="宋体"/>
          <w:snapToGrid w:val="0"/>
          <w:kern w:val="0"/>
          <w:szCs w:val="21"/>
          <w:highlight w:val="none"/>
          <w:u w:val="single"/>
        </w:rPr>
        <w:t>重庆市公共资源交易网（www.cqggzy.com）</w:t>
      </w:r>
      <w:r>
        <w:rPr>
          <w:rFonts w:hint="eastAsia" w:ascii="宋体" w:hAnsi="宋体" w:cs="宋体"/>
          <w:snapToGrid w:val="0"/>
          <w:kern w:val="0"/>
          <w:szCs w:val="21"/>
          <w:highlight w:val="none"/>
        </w:rPr>
        <w:t>下载招标文件、澄清、修改、补充通知、最高限价通知等全部内容。不管下载与否都视为潜在投标人全部知晓有关招投标过程和全部内容。</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360" w:lineRule="auto"/>
        <w:ind w:firstLine="420" w:firstLineChars="200"/>
        <w:rPr>
          <w:rFonts w:hint="eastAsia" w:ascii="宋体" w:hAnsi="宋体" w:cs="宋体"/>
          <w:snapToGrid w:val="0"/>
          <w:kern w:val="0"/>
          <w:szCs w:val="21"/>
          <w:highlight w:val="none"/>
        </w:rPr>
      </w:pPr>
      <w:r>
        <w:rPr>
          <w:rFonts w:hint="eastAsia" w:ascii="宋体" w:hAnsi="宋体" w:cs="宋体"/>
          <w:snapToGrid w:val="0"/>
          <w:kern w:val="0"/>
          <w:szCs w:val="21"/>
          <w:highlight w:val="none"/>
        </w:rPr>
        <w:t>4.2 投标人可在</w:t>
      </w:r>
      <w:r>
        <w:rPr>
          <w:rFonts w:hint="eastAsia" w:ascii="宋体" w:hAnsi="宋体" w:cs="宋体"/>
          <w:snapToGrid w:val="0"/>
          <w:kern w:val="0"/>
          <w:szCs w:val="21"/>
          <w:highlight w:val="none"/>
          <w:u w:val="single"/>
        </w:rPr>
        <w:t>重庆市公共资源交易网（www.cqggzy.com）</w:t>
      </w:r>
      <w:r>
        <w:rPr>
          <w:rFonts w:hint="eastAsia" w:ascii="宋体" w:hAnsi="宋体" w:cs="宋体"/>
          <w:snapToGrid w:val="0"/>
          <w:kern w:val="0"/>
          <w:szCs w:val="21"/>
          <w:highlight w:val="none"/>
        </w:rPr>
        <w:t>本项目招标公告网页下方“我要提问”栏提出疑问，提问时间从本公告发布至</w:t>
      </w:r>
      <w:r>
        <w:rPr>
          <w:rFonts w:hint="eastAsia" w:ascii="宋体" w:hAnsi="宋体" w:cs="宋体"/>
          <w:kern w:val="0"/>
          <w:szCs w:val="21"/>
          <w:highlight w:val="none"/>
          <w:u w:val="single"/>
        </w:rPr>
        <w:t>2022</w:t>
      </w:r>
      <w:r>
        <w:rPr>
          <w:rFonts w:hint="eastAsia" w:ascii="宋体" w:hAnsi="宋体" w:cs="宋体"/>
          <w:kern w:val="0"/>
          <w:szCs w:val="21"/>
          <w:highlight w:val="none"/>
        </w:rPr>
        <w:t>年</w:t>
      </w:r>
      <w:r>
        <w:rPr>
          <w:rFonts w:ascii="宋体" w:hAnsi="宋体" w:cs="宋体"/>
          <w:kern w:val="0"/>
          <w:szCs w:val="21"/>
          <w:highlight w:val="none"/>
          <w:u w:val="single"/>
        </w:rPr>
        <w:t xml:space="preserve"> </w:t>
      </w:r>
      <w:r>
        <w:rPr>
          <w:rFonts w:hint="eastAsia" w:ascii="宋体" w:hAnsi="宋体" w:cs="宋体"/>
          <w:kern w:val="0"/>
          <w:szCs w:val="21"/>
          <w:highlight w:val="none"/>
          <w:u w:val="single"/>
          <w:lang w:val="en-US" w:eastAsia="zh-CN"/>
        </w:rPr>
        <w:t>8</w:t>
      </w:r>
      <w:r>
        <w:rPr>
          <w:rFonts w:ascii="宋体" w:hAnsi="宋体" w:cs="宋体"/>
          <w:kern w:val="0"/>
          <w:szCs w:val="21"/>
          <w:highlight w:val="none"/>
          <w:u w:val="single"/>
        </w:rPr>
        <w:t xml:space="preserve"> </w:t>
      </w:r>
      <w:r>
        <w:rPr>
          <w:rFonts w:hint="eastAsia" w:ascii="宋体" w:hAnsi="宋体" w:cs="宋体"/>
          <w:kern w:val="0"/>
          <w:szCs w:val="21"/>
          <w:highlight w:val="none"/>
        </w:rPr>
        <w:t>月</w:t>
      </w:r>
      <w:r>
        <w:rPr>
          <w:rFonts w:ascii="宋体" w:hAnsi="宋体" w:cs="宋体"/>
          <w:kern w:val="0"/>
          <w:szCs w:val="21"/>
          <w:highlight w:val="none"/>
          <w:u w:val="single"/>
        </w:rPr>
        <w:t xml:space="preserve"> </w:t>
      </w:r>
      <w:r>
        <w:rPr>
          <w:rFonts w:hint="eastAsia" w:ascii="宋体" w:hAnsi="宋体" w:cs="宋体"/>
          <w:kern w:val="0"/>
          <w:szCs w:val="21"/>
          <w:highlight w:val="none"/>
          <w:u w:val="single"/>
          <w:lang w:val="en-US" w:eastAsia="zh-CN"/>
        </w:rPr>
        <w:t>7</w:t>
      </w:r>
      <w:r>
        <w:rPr>
          <w:rFonts w:ascii="宋体" w:hAnsi="宋体" w:cs="宋体"/>
          <w:kern w:val="0"/>
          <w:szCs w:val="21"/>
          <w:highlight w:val="none"/>
          <w:u w:val="single"/>
        </w:rPr>
        <w:t xml:space="preserve"> </w:t>
      </w:r>
      <w:r>
        <w:rPr>
          <w:rFonts w:hint="eastAsia" w:ascii="宋体" w:hAnsi="宋体" w:cs="宋体"/>
          <w:kern w:val="0"/>
          <w:szCs w:val="21"/>
          <w:highlight w:val="none"/>
        </w:rPr>
        <w:t>日</w:t>
      </w:r>
      <w:r>
        <w:rPr>
          <w:rFonts w:hint="eastAsia" w:ascii="宋体" w:hAnsi="宋体" w:cs="宋体"/>
          <w:kern w:val="0"/>
          <w:szCs w:val="21"/>
          <w:highlight w:val="none"/>
          <w:u w:val="single"/>
        </w:rPr>
        <w:t>10</w:t>
      </w:r>
      <w:r>
        <w:rPr>
          <w:rFonts w:hint="eastAsia" w:ascii="宋体" w:hAnsi="宋体" w:cs="宋体"/>
          <w:szCs w:val="21"/>
          <w:highlight w:val="none"/>
        </w:rPr>
        <w:t>时</w:t>
      </w:r>
      <w:r>
        <w:rPr>
          <w:rFonts w:hint="eastAsia" w:ascii="宋体" w:hAnsi="宋体" w:cs="宋体"/>
          <w:kern w:val="0"/>
          <w:szCs w:val="21"/>
          <w:highlight w:val="none"/>
          <w:u w:val="single"/>
        </w:rPr>
        <w:t>00</w:t>
      </w:r>
      <w:r>
        <w:rPr>
          <w:rFonts w:hint="eastAsia" w:ascii="宋体" w:hAnsi="宋体" w:cs="宋体"/>
          <w:szCs w:val="21"/>
          <w:highlight w:val="none"/>
        </w:rPr>
        <w:t>分</w:t>
      </w:r>
      <w:r>
        <w:rPr>
          <w:rFonts w:hint="eastAsia" w:ascii="宋体" w:hAnsi="宋体" w:cs="宋体"/>
          <w:snapToGrid w:val="0"/>
          <w:kern w:val="0"/>
          <w:szCs w:val="21"/>
          <w:highlight w:val="none"/>
        </w:rPr>
        <w:t>（北京时间）前。</w:t>
      </w:r>
    </w:p>
    <w:p>
      <w:pPr>
        <w:pStyle w:val="17"/>
        <w:snapToGrid w:val="0"/>
        <w:spacing w:line="360" w:lineRule="auto"/>
        <w:ind w:firstLine="420" w:firstLineChars="200"/>
        <w:rPr>
          <w:rFonts w:hint="eastAsia" w:hAnsi="宋体" w:eastAsia="宋体" w:cs="宋体"/>
          <w:color w:val="auto"/>
          <w:sz w:val="21"/>
          <w:szCs w:val="21"/>
          <w:highlight w:val="none"/>
        </w:rPr>
      </w:pPr>
      <w:r>
        <w:rPr>
          <w:rFonts w:hint="eastAsia" w:hAnsi="宋体" w:eastAsia="宋体" w:cs="宋体"/>
          <w:snapToGrid w:val="0"/>
          <w:sz w:val="21"/>
          <w:szCs w:val="21"/>
          <w:highlight w:val="none"/>
        </w:rPr>
        <w:t>4.3 招标人应于</w:t>
      </w:r>
      <w:r>
        <w:rPr>
          <w:rFonts w:hint="eastAsia" w:hAnsi="宋体" w:eastAsia="宋体" w:cs="宋体"/>
          <w:sz w:val="21"/>
          <w:szCs w:val="21"/>
          <w:highlight w:val="none"/>
          <w:u w:val="single"/>
        </w:rPr>
        <w:t>2022</w:t>
      </w:r>
      <w:r>
        <w:rPr>
          <w:rFonts w:hint="eastAsia" w:hAnsi="宋体" w:eastAsia="宋体" w:cs="宋体"/>
          <w:sz w:val="21"/>
          <w:szCs w:val="21"/>
          <w:highlight w:val="none"/>
        </w:rPr>
        <w:t>年</w:t>
      </w:r>
      <w:r>
        <w:rPr>
          <w:rFonts w:hint="eastAsia" w:hAnsi="宋体" w:eastAsia="宋体" w:cs="宋体"/>
          <w:sz w:val="21"/>
          <w:szCs w:val="21"/>
          <w:highlight w:val="none"/>
          <w:u w:val="single"/>
        </w:rPr>
        <w:t xml:space="preserve"> </w:t>
      </w:r>
      <w:r>
        <w:rPr>
          <w:rFonts w:hint="eastAsia" w:hAnsi="宋体" w:eastAsia="宋体" w:cs="宋体"/>
          <w:sz w:val="21"/>
          <w:szCs w:val="21"/>
          <w:highlight w:val="none"/>
          <w:u w:val="single"/>
          <w:lang w:val="en-US" w:eastAsia="zh-CN"/>
        </w:rPr>
        <w:t>8</w:t>
      </w:r>
      <w:r>
        <w:rPr>
          <w:rFonts w:hint="eastAsia" w:hAnsi="宋体" w:eastAsia="宋体" w:cs="宋体"/>
          <w:sz w:val="21"/>
          <w:szCs w:val="21"/>
          <w:highlight w:val="none"/>
          <w:u w:val="single"/>
        </w:rPr>
        <w:t xml:space="preserve"> </w:t>
      </w:r>
      <w:r>
        <w:rPr>
          <w:rFonts w:hint="eastAsia" w:hAnsi="宋体" w:eastAsia="宋体" w:cs="宋体"/>
          <w:sz w:val="21"/>
          <w:szCs w:val="21"/>
          <w:highlight w:val="none"/>
        </w:rPr>
        <w:t>月</w:t>
      </w:r>
      <w:r>
        <w:rPr>
          <w:rFonts w:hint="eastAsia" w:hAnsi="宋体" w:eastAsia="宋体" w:cs="宋体"/>
          <w:sz w:val="21"/>
          <w:szCs w:val="21"/>
          <w:highlight w:val="none"/>
          <w:u w:val="single"/>
        </w:rPr>
        <w:t xml:space="preserve"> </w:t>
      </w:r>
      <w:r>
        <w:rPr>
          <w:rFonts w:hint="eastAsia" w:hAnsi="宋体" w:eastAsia="宋体" w:cs="宋体"/>
          <w:sz w:val="21"/>
          <w:szCs w:val="21"/>
          <w:highlight w:val="none"/>
          <w:u w:val="single"/>
          <w:lang w:val="en-US" w:eastAsia="zh-CN"/>
        </w:rPr>
        <w:t>9</w:t>
      </w:r>
      <w:r>
        <w:rPr>
          <w:rFonts w:hint="eastAsia" w:hAnsi="宋体" w:eastAsia="宋体" w:cs="宋体"/>
          <w:sz w:val="21"/>
          <w:szCs w:val="21"/>
          <w:highlight w:val="none"/>
          <w:u w:val="single"/>
        </w:rPr>
        <w:t xml:space="preserve"> </w:t>
      </w:r>
      <w:r>
        <w:rPr>
          <w:rFonts w:hint="eastAsia" w:hAnsi="宋体" w:eastAsia="宋体" w:cs="宋体"/>
          <w:sz w:val="21"/>
          <w:szCs w:val="21"/>
          <w:highlight w:val="none"/>
        </w:rPr>
        <w:t>日</w:t>
      </w:r>
      <w:r>
        <w:rPr>
          <w:rFonts w:hint="eastAsia" w:hAnsi="宋体" w:eastAsia="宋体" w:cs="宋体"/>
          <w:sz w:val="21"/>
          <w:szCs w:val="21"/>
          <w:highlight w:val="none"/>
          <w:u w:val="single"/>
        </w:rPr>
        <w:t>17</w:t>
      </w:r>
      <w:r>
        <w:rPr>
          <w:rFonts w:hint="eastAsia" w:hAnsi="宋体" w:eastAsia="宋体" w:cs="宋体"/>
          <w:sz w:val="21"/>
          <w:szCs w:val="21"/>
          <w:highlight w:val="none"/>
        </w:rPr>
        <w:t>时</w:t>
      </w:r>
      <w:r>
        <w:rPr>
          <w:rFonts w:hint="eastAsia" w:hAnsi="宋体" w:eastAsia="宋体" w:cs="宋体"/>
          <w:sz w:val="21"/>
          <w:szCs w:val="21"/>
          <w:highlight w:val="none"/>
          <w:u w:val="single"/>
        </w:rPr>
        <w:t>30</w:t>
      </w:r>
      <w:r>
        <w:rPr>
          <w:rFonts w:hint="eastAsia" w:hAnsi="宋体" w:eastAsia="宋体" w:cs="宋体"/>
          <w:sz w:val="21"/>
          <w:szCs w:val="21"/>
          <w:highlight w:val="none"/>
        </w:rPr>
        <w:t>分</w:t>
      </w:r>
      <w:r>
        <w:rPr>
          <w:rFonts w:hint="eastAsia" w:hAnsi="宋体" w:eastAsia="宋体" w:cs="宋体"/>
          <w:snapToGrid w:val="0"/>
          <w:sz w:val="21"/>
          <w:szCs w:val="21"/>
          <w:highlight w:val="none"/>
        </w:rPr>
        <w:t>（北京时间）前在</w:t>
      </w:r>
      <w:r>
        <w:rPr>
          <w:rFonts w:hint="eastAsia" w:hAnsi="宋体" w:eastAsia="宋体" w:cs="宋体"/>
          <w:snapToGrid w:val="0"/>
          <w:sz w:val="21"/>
          <w:szCs w:val="21"/>
          <w:highlight w:val="none"/>
          <w:u w:val="single"/>
        </w:rPr>
        <w:t>重庆市公共资源交易网（www.cqggzy.com）</w:t>
      </w:r>
      <w:r>
        <w:rPr>
          <w:rFonts w:hint="eastAsia" w:hAnsi="宋体" w:eastAsia="宋体" w:cs="宋体"/>
          <w:snapToGrid w:val="0"/>
          <w:sz w:val="21"/>
          <w:szCs w:val="21"/>
          <w:highlight w:val="none"/>
        </w:rPr>
        <w:t>发布澄清。</w:t>
      </w:r>
    </w:p>
    <w:p>
      <w:pPr>
        <w:pStyle w:val="17"/>
        <w:snapToGrid w:val="0"/>
        <w:spacing w:line="360" w:lineRule="auto"/>
        <w:ind w:firstLine="422" w:firstLineChars="200"/>
        <w:rPr>
          <w:rFonts w:hint="eastAsia" w:hAnsi="宋体" w:eastAsia="宋体" w:cs="宋体"/>
          <w:b/>
          <w:color w:val="auto"/>
          <w:sz w:val="21"/>
          <w:szCs w:val="21"/>
          <w:highlight w:val="none"/>
        </w:rPr>
      </w:pPr>
      <w:r>
        <w:rPr>
          <w:rFonts w:hint="eastAsia" w:hAnsi="宋体" w:eastAsia="宋体" w:cs="宋体"/>
          <w:b/>
          <w:color w:val="auto"/>
          <w:sz w:val="21"/>
          <w:szCs w:val="21"/>
          <w:highlight w:val="none"/>
        </w:rPr>
        <w:t>5、投标文件的递交</w:t>
      </w: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20" w:firstLineChars="200"/>
        <w:rPr>
          <w:rFonts w:hint="eastAsia" w:ascii="宋体" w:hAnsi="宋体" w:cs="宋体"/>
          <w:snapToGrid w:val="0"/>
          <w:kern w:val="0"/>
          <w:szCs w:val="21"/>
          <w:highlight w:val="none"/>
        </w:rPr>
      </w:pPr>
      <w:r>
        <w:rPr>
          <w:rFonts w:hint="eastAsia" w:ascii="宋体" w:hAnsi="宋体" w:cs="宋体"/>
          <w:snapToGrid w:val="0"/>
          <w:kern w:val="0"/>
          <w:szCs w:val="21"/>
          <w:highlight w:val="none"/>
        </w:rPr>
        <w:t>5.1 投标文件递交的截止时间（投标截止时间，下同）为</w:t>
      </w:r>
      <w:r>
        <w:rPr>
          <w:rFonts w:hint="eastAsia" w:ascii="宋体" w:hAnsi="宋体" w:cs="宋体"/>
          <w:kern w:val="0"/>
          <w:szCs w:val="21"/>
          <w:highlight w:val="none"/>
          <w:u w:val="single"/>
        </w:rPr>
        <w:t>2022</w:t>
      </w:r>
      <w:r>
        <w:rPr>
          <w:rFonts w:hint="eastAsia" w:ascii="宋体" w:hAnsi="宋体" w:cs="宋体"/>
          <w:kern w:val="0"/>
          <w:szCs w:val="21"/>
          <w:highlight w:val="none"/>
        </w:rPr>
        <w:t>年</w:t>
      </w:r>
      <w:r>
        <w:rPr>
          <w:rFonts w:ascii="宋体" w:hAnsi="宋体" w:cs="宋体"/>
          <w:kern w:val="0"/>
          <w:szCs w:val="21"/>
          <w:highlight w:val="none"/>
          <w:u w:val="single"/>
        </w:rPr>
        <w:t xml:space="preserve"> </w:t>
      </w:r>
      <w:r>
        <w:rPr>
          <w:rFonts w:hint="eastAsia" w:ascii="宋体" w:hAnsi="宋体" w:cs="宋体"/>
          <w:kern w:val="0"/>
          <w:szCs w:val="21"/>
          <w:highlight w:val="none"/>
          <w:u w:val="single"/>
          <w:lang w:val="en-US" w:eastAsia="zh-CN"/>
        </w:rPr>
        <w:t>8</w:t>
      </w:r>
      <w:r>
        <w:rPr>
          <w:rFonts w:ascii="宋体" w:hAnsi="宋体" w:cs="宋体"/>
          <w:kern w:val="0"/>
          <w:szCs w:val="21"/>
          <w:highlight w:val="none"/>
          <w:u w:val="single"/>
        </w:rPr>
        <w:t xml:space="preserve"> </w:t>
      </w:r>
      <w:r>
        <w:rPr>
          <w:rFonts w:hint="eastAsia" w:ascii="宋体" w:hAnsi="宋体" w:cs="宋体"/>
          <w:kern w:val="0"/>
          <w:szCs w:val="21"/>
          <w:highlight w:val="none"/>
        </w:rPr>
        <w:t>月</w:t>
      </w:r>
      <w:r>
        <w:rPr>
          <w:rFonts w:ascii="宋体" w:hAnsi="宋体" w:cs="宋体"/>
          <w:kern w:val="0"/>
          <w:szCs w:val="21"/>
          <w:highlight w:val="none"/>
          <w:u w:val="single"/>
        </w:rPr>
        <w:t xml:space="preserve"> </w:t>
      </w:r>
      <w:r>
        <w:rPr>
          <w:rFonts w:hint="eastAsia" w:ascii="宋体" w:hAnsi="宋体" w:cs="宋体"/>
          <w:kern w:val="0"/>
          <w:szCs w:val="21"/>
          <w:highlight w:val="none"/>
          <w:u w:val="single"/>
          <w:lang w:val="en-US" w:eastAsia="zh-CN"/>
        </w:rPr>
        <w:t>25</w:t>
      </w:r>
      <w:r>
        <w:rPr>
          <w:rFonts w:ascii="宋体" w:hAnsi="宋体" w:cs="宋体"/>
          <w:kern w:val="0"/>
          <w:szCs w:val="21"/>
          <w:highlight w:val="none"/>
          <w:u w:val="single"/>
        </w:rPr>
        <w:t xml:space="preserve"> </w:t>
      </w:r>
      <w:r>
        <w:rPr>
          <w:rFonts w:hint="eastAsia" w:ascii="宋体" w:hAnsi="宋体" w:cs="宋体"/>
          <w:kern w:val="0"/>
          <w:szCs w:val="21"/>
          <w:highlight w:val="none"/>
        </w:rPr>
        <w:t>日</w:t>
      </w:r>
      <w:r>
        <w:rPr>
          <w:rFonts w:ascii="宋体" w:hAnsi="宋体" w:cs="宋体"/>
          <w:kern w:val="0"/>
          <w:szCs w:val="21"/>
          <w:highlight w:val="none"/>
          <w:u w:val="single"/>
        </w:rPr>
        <w:t xml:space="preserve"> </w:t>
      </w:r>
      <w:r>
        <w:rPr>
          <w:rFonts w:hint="eastAsia" w:ascii="宋体" w:hAnsi="宋体" w:cs="宋体"/>
          <w:kern w:val="0"/>
          <w:szCs w:val="21"/>
          <w:highlight w:val="none"/>
          <w:u w:val="single"/>
          <w:lang w:val="en-US" w:eastAsia="zh-CN"/>
        </w:rPr>
        <w:t>09</w:t>
      </w:r>
      <w:r>
        <w:rPr>
          <w:rFonts w:ascii="宋体" w:hAnsi="宋体" w:cs="宋体"/>
          <w:kern w:val="0"/>
          <w:szCs w:val="21"/>
          <w:highlight w:val="none"/>
          <w:u w:val="single"/>
        </w:rPr>
        <w:t xml:space="preserve"> </w:t>
      </w:r>
      <w:r>
        <w:rPr>
          <w:rFonts w:hint="eastAsia" w:ascii="宋体" w:hAnsi="宋体" w:cs="宋体"/>
          <w:szCs w:val="21"/>
          <w:highlight w:val="none"/>
        </w:rPr>
        <w:t>时</w:t>
      </w:r>
      <w:r>
        <w:rPr>
          <w:rFonts w:ascii="宋体" w:hAnsi="宋体" w:cs="宋体"/>
          <w:kern w:val="0"/>
          <w:szCs w:val="21"/>
          <w:highlight w:val="none"/>
          <w:u w:val="single"/>
        </w:rPr>
        <w:t xml:space="preserve"> </w:t>
      </w:r>
      <w:r>
        <w:rPr>
          <w:rFonts w:hint="eastAsia" w:ascii="宋体" w:hAnsi="宋体" w:cs="宋体"/>
          <w:kern w:val="0"/>
          <w:szCs w:val="21"/>
          <w:highlight w:val="none"/>
          <w:u w:val="single"/>
          <w:lang w:val="en-US" w:eastAsia="zh-CN"/>
        </w:rPr>
        <w:t>30</w:t>
      </w:r>
      <w:r>
        <w:rPr>
          <w:rFonts w:ascii="宋体" w:hAnsi="宋体" w:cs="宋体"/>
          <w:kern w:val="0"/>
          <w:szCs w:val="21"/>
          <w:highlight w:val="none"/>
          <w:u w:val="single"/>
        </w:rPr>
        <w:t xml:space="preserve"> </w:t>
      </w:r>
      <w:r>
        <w:rPr>
          <w:rFonts w:hint="eastAsia" w:ascii="宋体" w:hAnsi="宋体" w:cs="宋体"/>
          <w:szCs w:val="21"/>
          <w:highlight w:val="none"/>
        </w:rPr>
        <w:t>分</w:t>
      </w:r>
      <w:r>
        <w:rPr>
          <w:rFonts w:hint="eastAsia" w:ascii="宋体" w:hAnsi="宋体" w:cs="宋体"/>
          <w:snapToGrid w:val="0"/>
          <w:kern w:val="0"/>
          <w:szCs w:val="21"/>
          <w:highlight w:val="none"/>
        </w:rPr>
        <w:t>，地点为</w:t>
      </w:r>
      <w:r>
        <w:rPr>
          <w:rFonts w:hint="eastAsia" w:ascii="宋体" w:hAnsi="宋体" w:cs="宋体"/>
          <w:snapToGrid w:val="0"/>
          <w:kern w:val="0"/>
          <w:szCs w:val="21"/>
          <w:highlight w:val="none"/>
          <w:u w:val="single"/>
        </w:rPr>
        <w:t>重庆市公共资源交易中心（重庆市渝北</w:t>
      </w:r>
      <w:bookmarkStart w:id="195" w:name="_GoBack"/>
      <w:bookmarkEnd w:id="195"/>
      <w:r>
        <w:rPr>
          <w:rFonts w:hint="eastAsia" w:ascii="宋体" w:hAnsi="宋体" w:cs="宋体"/>
          <w:snapToGrid w:val="0"/>
          <w:kern w:val="0"/>
          <w:szCs w:val="21"/>
          <w:highlight w:val="none"/>
          <w:u w:val="single"/>
        </w:rPr>
        <w:t>区清枫北路6号渝兴广场B10栋），具体房间号见当天展示牌或查阅《重庆市公共资源交易网》（网址：http://www.cqggzy.com）网上的开标安排。采用纸质文件递交</w:t>
      </w:r>
      <w:r>
        <w:rPr>
          <w:rFonts w:hint="eastAsia" w:ascii="宋体" w:hAnsi="宋体" w:cs="宋体"/>
          <w:snapToGrid w:val="0"/>
          <w:kern w:val="0"/>
          <w:szCs w:val="21"/>
          <w:highlight w:val="none"/>
        </w:rPr>
        <w:t>。</w:t>
      </w:r>
    </w:p>
    <w:p>
      <w:pPr>
        <w:pStyle w:val="17"/>
        <w:snapToGrid w:val="0"/>
        <w:spacing w:line="360" w:lineRule="auto"/>
        <w:ind w:firstLine="420" w:firstLineChars="200"/>
        <w:rPr>
          <w:rFonts w:hint="eastAsia" w:hAnsi="宋体" w:eastAsia="宋体" w:cs="宋体"/>
          <w:color w:val="auto"/>
          <w:sz w:val="21"/>
          <w:szCs w:val="21"/>
          <w:highlight w:val="none"/>
        </w:rPr>
      </w:pPr>
      <w:r>
        <w:rPr>
          <w:rFonts w:hint="eastAsia" w:hAnsi="宋体" w:eastAsia="宋体" w:cs="宋体"/>
          <w:snapToGrid w:val="0"/>
          <w:sz w:val="21"/>
          <w:szCs w:val="21"/>
          <w:highlight w:val="none"/>
        </w:rPr>
        <w:t>5.2 逾期送达的或者未送达指定地点的投标文件，招标人不予受理。</w:t>
      </w:r>
    </w:p>
    <w:p>
      <w:pPr>
        <w:pStyle w:val="17"/>
        <w:snapToGrid w:val="0"/>
        <w:spacing w:line="360" w:lineRule="auto"/>
        <w:ind w:firstLine="422" w:firstLineChars="200"/>
        <w:rPr>
          <w:rFonts w:hint="eastAsia" w:hAnsi="宋体" w:eastAsia="宋体" w:cs="宋体"/>
          <w:b/>
          <w:color w:val="auto"/>
          <w:sz w:val="21"/>
          <w:szCs w:val="21"/>
          <w:highlight w:val="none"/>
        </w:rPr>
      </w:pPr>
      <w:r>
        <w:rPr>
          <w:rFonts w:hint="eastAsia" w:hAnsi="宋体" w:eastAsia="宋体" w:cs="宋体"/>
          <w:b/>
          <w:color w:val="auto"/>
          <w:sz w:val="21"/>
          <w:szCs w:val="21"/>
          <w:highlight w:val="none"/>
        </w:rPr>
        <w:t>6、发布公告的媒介</w:t>
      </w: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20" w:firstLineChars="200"/>
        <w:rPr>
          <w:rFonts w:hint="eastAsia" w:ascii="宋体" w:hAnsi="宋体" w:cs="宋体"/>
          <w:snapToGrid w:val="0"/>
          <w:kern w:val="0"/>
          <w:szCs w:val="21"/>
          <w:highlight w:val="none"/>
        </w:rPr>
      </w:pPr>
      <w:r>
        <w:rPr>
          <w:rFonts w:hint="eastAsia" w:ascii="宋体" w:hAnsi="宋体" w:cs="宋体"/>
          <w:snapToGrid w:val="0"/>
          <w:kern w:val="0"/>
          <w:szCs w:val="21"/>
          <w:highlight w:val="none"/>
        </w:rPr>
        <w:t>本次招标公告同时在《重庆市公共资源交易网》和《中国招标投标公共服务平台》网上发布。</w:t>
      </w:r>
    </w:p>
    <w:p>
      <w:pPr>
        <w:pStyle w:val="17"/>
        <w:snapToGrid w:val="0"/>
        <w:spacing w:line="360" w:lineRule="auto"/>
        <w:ind w:firstLine="422" w:firstLineChars="200"/>
        <w:rPr>
          <w:rFonts w:hint="eastAsia" w:hAnsi="宋体" w:eastAsia="宋体" w:cs="宋体"/>
          <w:b/>
          <w:color w:val="auto"/>
          <w:sz w:val="21"/>
          <w:szCs w:val="21"/>
          <w:highlight w:val="none"/>
        </w:rPr>
      </w:pPr>
      <w:r>
        <w:rPr>
          <w:rFonts w:hint="eastAsia" w:hAnsi="宋体" w:eastAsia="宋体" w:cs="宋体"/>
          <w:b/>
          <w:color w:val="auto"/>
          <w:sz w:val="21"/>
          <w:szCs w:val="21"/>
          <w:highlight w:val="none"/>
        </w:rPr>
        <w:t>7、其他</w:t>
      </w:r>
    </w:p>
    <w:p>
      <w:pPr>
        <w:pStyle w:val="17"/>
        <w:snapToGrid w:val="0"/>
        <w:spacing w:line="360" w:lineRule="auto"/>
        <w:ind w:firstLine="420" w:firstLineChars="200"/>
        <w:rPr>
          <w:rFonts w:hint="eastAsia" w:hAnsi="宋体" w:eastAsia="宋体" w:cs="宋体"/>
          <w:color w:val="auto"/>
          <w:sz w:val="21"/>
          <w:szCs w:val="21"/>
          <w:highlight w:val="none"/>
        </w:rPr>
      </w:pPr>
      <w:r>
        <w:rPr>
          <w:rFonts w:hint="eastAsia" w:hAnsi="宋体" w:eastAsia="宋体" w:cs="宋体"/>
          <w:color w:val="auto"/>
          <w:sz w:val="21"/>
          <w:szCs w:val="21"/>
          <w:highlight w:val="none"/>
        </w:rPr>
        <w:t>7.1</w:t>
      </w:r>
      <w:r>
        <w:rPr>
          <w:rFonts w:hint="eastAsia" w:hAnsi="宋体" w:eastAsia="宋体" w:cs="宋体"/>
          <w:color w:val="auto"/>
          <w:sz w:val="21"/>
          <w:szCs w:val="21"/>
          <w:highlight w:val="none"/>
          <w:lang w:val="en-US" w:eastAsia="zh-CN"/>
        </w:rPr>
        <w:t xml:space="preserve"> </w:t>
      </w:r>
      <w:r>
        <w:rPr>
          <w:rFonts w:hint="eastAsia" w:hAnsi="宋体" w:eastAsia="宋体" w:cs="宋体"/>
          <w:color w:val="auto"/>
          <w:sz w:val="21"/>
          <w:szCs w:val="21"/>
          <w:highlight w:val="none"/>
        </w:rPr>
        <w:t>本招标项目的监督部门为重庆机场集团有限公司审计法务部。</w:t>
      </w:r>
    </w:p>
    <w:p>
      <w:pPr>
        <w:pStyle w:val="17"/>
        <w:snapToGrid w:val="0"/>
        <w:spacing w:line="360" w:lineRule="auto"/>
        <w:ind w:firstLine="420" w:firstLineChars="200"/>
        <w:rPr>
          <w:rFonts w:hint="eastAsia" w:hAnsi="宋体" w:eastAsia="宋体" w:cs="宋体"/>
          <w:color w:val="auto"/>
          <w:sz w:val="21"/>
          <w:szCs w:val="21"/>
          <w:highlight w:val="none"/>
        </w:rPr>
      </w:pPr>
      <w:r>
        <w:rPr>
          <w:rFonts w:hint="eastAsia" w:hAnsi="宋体" w:eastAsia="宋体" w:cs="宋体"/>
          <w:color w:val="auto"/>
          <w:sz w:val="21"/>
          <w:szCs w:val="21"/>
          <w:highlight w:val="none"/>
        </w:rPr>
        <w:t>7.2</w:t>
      </w:r>
      <w:r>
        <w:rPr>
          <w:rFonts w:hint="eastAsia" w:hAnsi="宋体" w:eastAsia="宋体" w:cs="宋体"/>
          <w:color w:val="auto"/>
          <w:sz w:val="21"/>
          <w:szCs w:val="21"/>
          <w:highlight w:val="none"/>
          <w:lang w:val="en-US" w:eastAsia="zh-CN"/>
        </w:rPr>
        <w:t xml:space="preserve"> </w:t>
      </w:r>
      <w:r>
        <w:rPr>
          <w:rFonts w:hint="eastAsia" w:hAnsi="宋体" w:eastAsia="宋体" w:cs="宋体"/>
          <w:color w:val="auto"/>
          <w:sz w:val="21"/>
          <w:szCs w:val="21"/>
          <w:highlight w:val="none"/>
        </w:rPr>
        <w:t>招标文件售价：0元。</w:t>
      </w:r>
    </w:p>
    <w:p>
      <w:pPr>
        <w:pStyle w:val="17"/>
        <w:snapToGrid w:val="0"/>
        <w:spacing w:line="360" w:lineRule="auto"/>
        <w:ind w:firstLine="422" w:firstLineChars="200"/>
        <w:rPr>
          <w:rFonts w:hint="eastAsia" w:hAnsi="宋体" w:eastAsia="宋体" w:cs="宋体"/>
          <w:b/>
          <w:color w:val="auto"/>
          <w:sz w:val="21"/>
          <w:szCs w:val="21"/>
          <w:highlight w:val="none"/>
        </w:rPr>
      </w:pPr>
      <w:r>
        <w:rPr>
          <w:rFonts w:hint="eastAsia" w:hAnsi="宋体" w:eastAsia="宋体" w:cs="宋体"/>
          <w:b/>
          <w:color w:val="auto"/>
          <w:sz w:val="21"/>
          <w:szCs w:val="21"/>
          <w:highlight w:val="none"/>
        </w:rPr>
        <w:t>8、联系方式</w:t>
      </w:r>
    </w:p>
    <w:p>
      <w:pPr>
        <w:pStyle w:val="17"/>
        <w:snapToGrid w:val="0"/>
        <w:spacing w:line="360" w:lineRule="auto"/>
        <w:ind w:firstLine="420" w:firstLineChars="200"/>
        <w:rPr>
          <w:rFonts w:hint="eastAsia" w:hAnsi="宋体" w:eastAsia="宋体" w:cs="宋体"/>
          <w:color w:val="auto"/>
          <w:sz w:val="21"/>
          <w:szCs w:val="21"/>
          <w:highlight w:val="none"/>
        </w:rPr>
      </w:pPr>
      <w:r>
        <w:rPr>
          <w:rFonts w:hint="eastAsia" w:hAnsi="宋体" w:eastAsia="宋体" w:cs="宋体"/>
          <w:color w:val="auto"/>
          <w:sz w:val="21"/>
          <w:szCs w:val="21"/>
          <w:highlight w:val="none"/>
        </w:rPr>
        <w:t>招标人：重庆机场集团有限公司</w:t>
      </w:r>
    </w:p>
    <w:p>
      <w:pPr>
        <w:pStyle w:val="17"/>
        <w:snapToGrid w:val="0"/>
        <w:spacing w:line="360" w:lineRule="auto"/>
        <w:ind w:firstLine="420" w:firstLineChars="200"/>
        <w:rPr>
          <w:rFonts w:hint="eastAsia" w:hAnsi="宋体" w:eastAsia="宋体" w:cs="宋体"/>
          <w:color w:val="auto"/>
          <w:sz w:val="21"/>
          <w:szCs w:val="21"/>
          <w:highlight w:val="none"/>
        </w:rPr>
      </w:pPr>
      <w:r>
        <w:rPr>
          <w:rFonts w:hint="eastAsia" w:hAnsi="宋体" w:eastAsia="宋体" w:cs="宋体"/>
          <w:color w:val="auto"/>
          <w:sz w:val="21"/>
          <w:szCs w:val="21"/>
          <w:highlight w:val="none"/>
        </w:rPr>
        <w:t>地址：重庆江北国际机场</w:t>
      </w:r>
    </w:p>
    <w:p>
      <w:pPr>
        <w:pStyle w:val="17"/>
        <w:snapToGrid w:val="0"/>
        <w:spacing w:line="360" w:lineRule="auto"/>
        <w:ind w:firstLine="420" w:firstLineChars="200"/>
        <w:rPr>
          <w:rFonts w:hint="eastAsia" w:hAnsi="宋体" w:eastAsia="宋体" w:cs="宋体"/>
          <w:color w:val="auto"/>
          <w:sz w:val="21"/>
          <w:szCs w:val="21"/>
          <w:highlight w:val="none"/>
        </w:rPr>
      </w:pPr>
      <w:r>
        <w:rPr>
          <w:rFonts w:hint="eastAsia" w:hAnsi="宋体" w:eastAsia="宋体" w:cs="宋体"/>
          <w:color w:val="auto"/>
          <w:sz w:val="21"/>
          <w:szCs w:val="21"/>
          <w:highlight w:val="none"/>
        </w:rPr>
        <w:t>联系人：李先生</w:t>
      </w:r>
    </w:p>
    <w:p>
      <w:pPr>
        <w:pStyle w:val="17"/>
        <w:snapToGrid w:val="0"/>
        <w:spacing w:line="360" w:lineRule="auto"/>
        <w:ind w:firstLine="420" w:firstLineChars="200"/>
        <w:rPr>
          <w:rFonts w:hint="eastAsia" w:hAnsi="宋体" w:eastAsia="宋体" w:cs="宋体"/>
          <w:color w:val="auto"/>
          <w:sz w:val="21"/>
          <w:szCs w:val="21"/>
          <w:highlight w:val="none"/>
        </w:rPr>
      </w:pPr>
      <w:r>
        <w:rPr>
          <w:rFonts w:hint="eastAsia" w:hAnsi="宋体" w:eastAsia="宋体" w:cs="宋体"/>
          <w:color w:val="auto"/>
          <w:sz w:val="21"/>
          <w:szCs w:val="21"/>
          <w:highlight w:val="none"/>
        </w:rPr>
        <w:t xml:space="preserve">电话：023-67153238     </w:t>
      </w:r>
    </w:p>
    <w:p>
      <w:pPr>
        <w:pStyle w:val="17"/>
        <w:snapToGrid w:val="0"/>
        <w:spacing w:line="360" w:lineRule="auto"/>
        <w:ind w:firstLine="420" w:firstLineChars="200"/>
        <w:rPr>
          <w:rFonts w:hint="eastAsia" w:hAnsi="宋体" w:eastAsia="宋体" w:cs="宋体"/>
          <w:color w:val="auto"/>
          <w:sz w:val="21"/>
          <w:szCs w:val="21"/>
          <w:highlight w:val="none"/>
        </w:rPr>
      </w:pPr>
    </w:p>
    <w:p>
      <w:pPr>
        <w:pStyle w:val="17"/>
        <w:snapToGrid w:val="0"/>
        <w:spacing w:line="360" w:lineRule="auto"/>
        <w:ind w:firstLine="420" w:firstLineChars="200"/>
        <w:rPr>
          <w:rFonts w:hint="eastAsia" w:hAnsi="宋体" w:eastAsia="宋体" w:cs="宋体"/>
          <w:color w:val="auto"/>
          <w:sz w:val="21"/>
          <w:szCs w:val="21"/>
          <w:highlight w:val="none"/>
        </w:rPr>
      </w:pPr>
      <w:r>
        <w:rPr>
          <w:rFonts w:hint="eastAsia" w:hAnsi="宋体" w:eastAsia="宋体" w:cs="宋体"/>
          <w:color w:val="auto"/>
          <w:sz w:val="21"/>
          <w:szCs w:val="21"/>
          <w:highlight w:val="none"/>
        </w:rPr>
        <w:t>招标代理机构：</w:t>
      </w:r>
      <w:r>
        <w:rPr>
          <w:rFonts w:hint="eastAsia" w:hAnsi="宋体" w:eastAsia="宋体" w:cs="宋体"/>
          <w:color w:val="auto"/>
          <w:sz w:val="21"/>
          <w:szCs w:val="21"/>
          <w:highlight w:val="none"/>
          <w:lang w:eastAsia="zh-CN"/>
        </w:rPr>
        <w:t>重庆国际投资咨询集团有限公司</w:t>
      </w:r>
    </w:p>
    <w:p>
      <w:pPr>
        <w:pStyle w:val="17"/>
        <w:snapToGrid w:val="0"/>
        <w:spacing w:line="360" w:lineRule="auto"/>
        <w:ind w:firstLine="420" w:firstLineChars="200"/>
        <w:rPr>
          <w:rFonts w:hint="eastAsia" w:hAnsi="宋体" w:eastAsia="宋体" w:cs="宋体"/>
          <w:color w:val="auto"/>
          <w:sz w:val="21"/>
          <w:szCs w:val="21"/>
          <w:highlight w:val="none"/>
        </w:rPr>
      </w:pPr>
      <w:r>
        <w:rPr>
          <w:rFonts w:hint="eastAsia" w:hAnsi="宋体" w:eastAsia="宋体" w:cs="宋体"/>
          <w:color w:val="auto"/>
          <w:sz w:val="21"/>
          <w:szCs w:val="21"/>
          <w:highlight w:val="none"/>
        </w:rPr>
        <w:t>地址：重庆市江北区五里店五简路2号重庆咨询大厦A座</w:t>
      </w:r>
    </w:p>
    <w:p>
      <w:pPr>
        <w:pStyle w:val="17"/>
        <w:snapToGrid w:val="0"/>
        <w:spacing w:line="360" w:lineRule="auto"/>
        <w:ind w:firstLine="420" w:firstLineChars="200"/>
        <w:rPr>
          <w:rFonts w:hint="eastAsia" w:hAnsi="宋体" w:eastAsia="宋体" w:cs="宋体"/>
          <w:color w:val="auto"/>
          <w:sz w:val="21"/>
          <w:szCs w:val="21"/>
          <w:highlight w:val="none"/>
        </w:rPr>
      </w:pPr>
      <w:r>
        <w:rPr>
          <w:rFonts w:hint="eastAsia" w:hAnsi="宋体" w:eastAsia="宋体" w:cs="宋体"/>
          <w:color w:val="auto"/>
          <w:sz w:val="21"/>
          <w:szCs w:val="21"/>
          <w:highlight w:val="none"/>
        </w:rPr>
        <w:t>联系人：易先生</w:t>
      </w:r>
    </w:p>
    <w:p>
      <w:pPr>
        <w:pStyle w:val="17"/>
        <w:snapToGrid w:val="0"/>
        <w:spacing w:line="360" w:lineRule="auto"/>
        <w:ind w:firstLine="420" w:firstLineChars="200"/>
        <w:rPr>
          <w:rFonts w:hint="eastAsia" w:hAnsi="宋体" w:eastAsia="宋体" w:cs="宋体"/>
          <w:color w:val="auto"/>
          <w:sz w:val="21"/>
          <w:szCs w:val="21"/>
          <w:highlight w:val="none"/>
        </w:rPr>
      </w:pPr>
      <w:r>
        <w:rPr>
          <w:rFonts w:hint="eastAsia" w:hAnsi="宋体" w:eastAsia="宋体" w:cs="宋体"/>
          <w:color w:val="auto"/>
          <w:sz w:val="21"/>
          <w:szCs w:val="21"/>
          <w:highlight w:val="none"/>
        </w:rPr>
        <w:t>电话：023-67707425</w:t>
      </w:r>
    </w:p>
    <w:p>
      <w:pPr>
        <w:pStyle w:val="16"/>
        <w:rPr>
          <w:rFonts w:hint="eastAsia"/>
          <w:highlight w:val="none"/>
        </w:rPr>
      </w:pPr>
      <w:r>
        <w:rPr>
          <w:rFonts w:hint="eastAsia"/>
          <w:highlight w:val="none"/>
        </w:rPr>
        <w:br w:type="page"/>
      </w:r>
      <w:bookmarkStart w:id="14" w:name="_Toc26851"/>
      <w:bookmarkStart w:id="15" w:name="_Toc4303"/>
      <w:bookmarkStart w:id="16" w:name="_Toc12214"/>
      <w:r>
        <w:rPr>
          <w:rFonts w:hint="eastAsia"/>
          <w:highlight w:val="none"/>
        </w:rPr>
        <w:t>第二章  投标人须知</w:t>
      </w:r>
      <w:bookmarkEnd w:id="14"/>
      <w:bookmarkEnd w:id="15"/>
      <w:bookmarkEnd w:id="16"/>
    </w:p>
    <w:p>
      <w:pPr>
        <w:pStyle w:val="18"/>
        <w:spacing w:before="93" w:after="62"/>
        <w:rPr>
          <w:rFonts w:hint="eastAsia"/>
          <w:highlight w:val="none"/>
        </w:rPr>
      </w:pPr>
      <w:bookmarkStart w:id="17" w:name="_Toc13097"/>
      <w:bookmarkStart w:id="18" w:name="_Toc15293"/>
      <w:bookmarkStart w:id="19" w:name="_Toc8493"/>
      <w:r>
        <w:rPr>
          <w:rFonts w:hint="eastAsia"/>
          <w:highlight w:val="none"/>
        </w:rPr>
        <w:t>投标人须知前附表</w:t>
      </w:r>
      <w:bookmarkEnd w:id="17"/>
      <w:bookmarkEnd w:id="18"/>
      <w:bookmarkEnd w:id="19"/>
    </w:p>
    <w:tbl>
      <w:tblPr>
        <w:tblStyle w:val="15"/>
        <w:tblW w:w="9323" w:type="dxa"/>
        <w:jc w:val="center"/>
        <w:tblInd w:w="0" w:type="dxa"/>
        <w:tblLayout w:type="fixed"/>
        <w:tblCellMar>
          <w:top w:w="0" w:type="dxa"/>
          <w:left w:w="0" w:type="dxa"/>
          <w:bottom w:w="0" w:type="dxa"/>
          <w:right w:w="0" w:type="dxa"/>
        </w:tblCellMar>
      </w:tblPr>
      <w:tblGrid>
        <w:gridCol w:w="1164"/>
        <w:gridCol w:w="1701"/>
        <w:gridCol w:w="6458"/>
      </w:tblGrid>
      <w:tr>
        <w:tblPrEx>
          <w:tblLayout w:type="fixed"/>
          <w:tblCellMar>
            <w:top w:w="0" w:type="dxa"/>
            <w:left w:w="0" w:type="dxa"/>
            <w:bottom w:w="0" w:type="dxa"/>
            <w:right w:w="0" w:type="dxa"/>
          </w:tblCellMar>
        </w:tblPrEx>
        <w:trPr>
          <w:jc w:val="center"/>
        </w:trPr>
        <w:tc>
          <w:tcPr>
            <w:tcW w:w="11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jc w:val="center"/>
              <w:rPr>
                <w:rFonts w:hint="eastAsia" w:ascii="宋体" w:hAnsi="宋体" w:cs="宋体"/>
                <w:kern w:val="0"/>
                <w:szCs w:val="21"/>
                <w:highlight w:val="none"/>
              </w:rPr>
            </w:pPr>
            <w:r>
              <w:rPr>
                <w:rFonts w:hint="eastAsia" w:ascii="宋体" w:hAnsi="宋体" w:cs="宋体"/>
                <w:kern w:val="0"/>
                <w:szCs w:val="21"/>
                <w:highlight w:val="none"/>
              </w:rPr>
              <w:t>条款号</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ind w:hanging="8"/>
              <w:jc w:val="center"/>
              <w:rPr>
                <w:rFonts w:hint="eastAsia" w:ascii="宋体" w:hAnsi="宋体" w:cs="宋体"/>
                <w:kern w:val="0"/>
                <w:szCs w:val="21"/>
                <w:highlight w:val="none"/>
              </w:rPr>
            </w:pPr>
            <w:r>
              <w:rPr>
                <w:rFonts w:hint="eastAsia" w:ascii="宋体" w:hAnsi="宋体" w:cs="宋体"/>
                <w:kern w:val="0"/>
                <w:szCs w:val="21"/>
                <w:highlight w:val="none"/>
              </w:rPr>
              <w:t>条款名称</w:t>
            </w:r>
          </w:p>
        </w:tc>
        <w:tc>
          <w:tcPr>
            <w:tcW w:w="645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ind w:firstLine="210" w:firstLineChars="100"/>
              <w:jc w:val="center"/>
              <w:rPr>
                <w:rFonts w:hint="eastAsia" w:ascii="宋体" w:hAnsi="宋体" w:cs="宋体"/>
                <w:kern w:val="0"/>
                <w:szCs w:val="21"/>
                <w:highlight w:val="none"/>
              </w:rPr>
            </w:pPr>
            <w:r>
              <w:rPr>
                <w:rFonts w:hint="eastAsia" w:ascii="宋体" w:hAnsi="宋体" w:cs="宋体"/>
                <w:kern w:val="0"/>
                <w:szCs w:val="21"/>
                <w:highlight w:val="none"/>
              </w:rPr>
              <w:t>编列内容</w:t>
            </w:r>
          </w:p>
        </w:tc>
      </w:tr>
      <w:tr>
        <w:tblPrEx>
          <w:tblLayout w:type="fixed"/>
          <w:tblCellMar>
            <w:top w:w="0" w:type="dxa"/>
            <w:left w:w="0" w:type="dxa"/>
            <w:bottom w:w="0" w:type="dxa"/>
            <w:right w:w="0" w:type="dxa"/>
          </w:tblCellMar>
        </w:tblPrEx>
        <w:trPr>
          <w:jc w:val="center"/>
        </w:trPr>
        <w:tc>
          <w:tcPr>
            <w:tcW w:w="11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jc w:val="center"/>
              <w:rPr>
                <w:rFonts w:hint="eastAsia" w:ascii="宋体" w:hAnsi="宋体" w:cs="宋体"/>
                <w:kern w:val="0"/>
                <w:szCs w:val="21"/>
                <w:highlight w:val="none"/>
              </w:rPr>
            </w:pPr>
            <w:r>
              <w:rPr>
                <w:rFonts w:hint="eastAsia" w:ascii="宋体" w:hAnsi="宋体" w:cs="宋体"/>
                <w:kern w:val="0"/>
                <w:szCs w:val="21"/>
                <w:highlight w:val="none"/>
              </w:rPr>
              <w:t>1.1.2</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ind w:hanging="8"/>
              <w:jc w:val="center"/>
              <w:rPr>
                <w:rFonts w:hint="eastAsia" w:ascii="宋体" w:hAnsi="宋体" w:cs="宋体"/>
                <w:kern w:val="0"/>
                <w:szCs w:val="21"/>
                <w:highlight w:val="none"/>
              </w:rPr>
            </w:pPr>
            <w:r>
              <w:rPr>
                <w:rFonts w:hint="eastAsia" w:ascii="宋体" w:hAnsi="宋体" w:cs="宋体"/>
                <w:kern w:val="0"/>
                <w:szCs w:val="21"/>
                <w:highlight w:val="none"/>
              </w:rPr>
              <w:t>招标人</w:t>
            </w:r>
          </w:p>
        </w:tc>
        <w:tc>
          <w:tcPr>
            <w:tcW w:w="645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名称：重庆机场集团有限公司</w:t>
            </w:r>
          </w:p>
          <w:p>
            <w:pPr>
              <w:autoSpaceDE w:val="0"/>
              <w:autoSpaceDN w:val="0"/>
              <w:adjustRightInd w:val="0"/>
              <w:snapToGrid w:val="0"/>
              <w:spacing w:afterLines="0"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地址：重庆江北国际机场</w:t>
            </w:r>
          </w:p>
          <w:p>
            <w:pPr>
              <w:autoSpaceDE w:val="0"/>
              <w:autoSpaceDN w:val="0"/>
              <w:adjustRightInd w:val="0"/>
              <w:snapToGrid w:val="0"/>
              <w:spacing w:afterLines="0"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联系人：李先生</w:t>
            </w:r>
          </w:p>
          <w:p>
            <w:pPr>
              <w:autoSpaceDE w:val="0"/>
              <w:autoSpaceDN w:val="0"/>
              <w:adjustRightInd w:val="0"/>
              <w:snapToGrid w:val="0"/>
              <w:spacing w:afterLines="0"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电话：023-67153238</w:t>
            </w:r>
          </w:p>
        </w:tc>
      </w:tr>
      <w:tr>
        <w:tblPrEx>
          <w:tblLayout w:type="fixed"/>
          <w:tblCellMar>
            <w:top w:w="0" w:type="dxa"/>
            <w:left w:w="0" w:type="dxa"/>
            <w:bottom w:w="0" w:type="dxa"/>
            <w:right w:w="0" w:type="dxa"/>
          </w:tblCellMar>
        </w:tblPrEx>
        <w:trPr>
          <w:jc w:val="center"/>
        </w:trPr>
        <w:tc>
          <w:tcPr>
            <w:tcW w:w="11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jc w:val="center"/>
              <w:rPr>
                <w:rFonts w:hint="eastAsia" w:ascii="宋体" w:hAnsi="宋体" w:cs="宋体"/>
                <w:kern w:val="0"/>
                <w:szCs w:val="21"/>
                <w:highlight w:val="none"/>
              </w:rPr>
            </w:pPr>
            <w:r>
              <w:rPr>
                <w:rFonts w:hint="eastAsia" w:ascii="宋体" w:hAnsi="宋体" w:cs="宋体"/>
                <w:kern w:val="0"/>
                <w:szCs w:val="21"/>
                <w:highlight w:val="none"/>
              </w:rPr>
              <w:t>1.1.3</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ind w:hanging="8"/>
              <w:jc w:val="center"/>
              <w:rPr>
                <w:rFonts w:hint="eastAsia" w:ascii="宋体" w:hAnsi="宋体" w:cs="宋体"/>
                <w:kern w:val="0"/>
                <w:szCs w:val="21"/>
                <w:highlight w:val="none"/>
              </w:rPr>
            </w:pPr>
            <w:r>
              <w:rPr>
                <w:rFonts w:hint="eastAsia" w:ascii="宋体" w:hAnsi="宋体" w:cs="宋体"/>
                <w:kern w:val="0"/>
                <w:szCs w:val="21"/>
                <w:highlight w:val="none"/>
              </w:rPr>
              <w:t>招标</w:t>
            </w:r>
            <w:r>
              <w:rPr>
                <w:rFonts w:hint="eastAsia" w:ascii="宋体" w:hAnsi="宋体" w:cs="宋体"/>
                <w:spacing w:val="-2"/>
                <w:kern w:val="0"/>
                <w:szCs w:val="21"/>
                <w:highlight w:val="none"/>
              </w:rPr>
              <w:t>代</w:t>
            </w:r>
            <w:r>
              <w:rPr>
                <w:rFonts w:hint="eastAsia" w:ascii="宋体" w:hAnsi="宋体" w:cs="宋体"/>
                <w:kern w:val="0"/>
                <w:szCs w:val="21"/>
                <w:highlight w:val="none"/>
              </w:rPr>
              <w:t>理</w:t>
            </w:r>
            <w:r>
              <w:rPr>
                <w:rFonts w:hint="eastAsia" w:ascii="宋体" w:hAnsi="宋体" w:cs="宋体"/>
                <w:spacing w:val="-2"/>
                <w:kern w:val="0"/>
                <w:szCs w:val="21"/>
                <w:highlight w:val="none"/>
              </w:rPr>
              <w:t>机</w:t>
            </w:r>
            <w:r>
              <w:rPr>
                <w:rFonts w:hint="eastAsia" w:ascii="宋体" w:hAnsi="宋体" w:cs="宋体"/>
                <w:kern w:val="0"/>
                <w:szCs w:val="21"/>
                <w:highlight w:val="none"/>
              </w:rPr>
              <w:t>构</w:t>
            </w:r>
          </w:p>
        </w:tc>
        <w:tc>
          <w:tcPr>
            <w:tcW w:w="645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招标代理机构：</w:t>
            </w:r>
            <w:r>
              <w:rPr>
                <w:rFonts w:hint="eastAsia" w:ascii="宋体" w:hAnsi="宋体" w:cs="宋体"/>
                <w:kern w:val="0"/>
                <w:szCs w:val="21"/>
                <w:highlight w:val="none"/>
                <w:lang w:eastAsia="zh-CN"/>
              </w:rPr>
              <w:t>重庆国际投资咨询集团有限公司</w:t>
            </w:r>
          </w:p>
          <w:p>
            <w:pPr>
              <w:autoSpaceDE w:val="0"/>
              <w:autoSpaceDN w:val="0"/>
              <w:adjustRightInd w:val="0"/>
              <w:snapToGrid w:val="0"/>
              <w:spacing w:afterLines="0"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单位地址：重庆市江北区五里店五简路2号重庆咨询大厦A座</w:t>
            </w:r>
          </w:p>
          <w:p>
            <w:pPr>
              <w:autoSpaceDE w:val="0"/>
              <w:autoSpaceDN w:val="0"/>
              <w:adjustRightInd w:val="0"/>
              <w:snapToGrid w:val="0"/>
              <w:spacing w:afterLines="0"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联系人：易先生</w:t>
            </w:r>
          </w:p>
          <w:p>
            <w:pPr>
              <w:autoSpaceDE w:val="0"/>
              <w:autoSpaceDN w:val="0"/>
              <w:adjustRightInd w:val="0"/>
              <w:snapToGrid w:val="0"/>
              <w:spacing w:afterLines="0"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联系电话：023-67707425</w:t>
            </w:r>
          </w:p>
        </w:tc>
      </w:tr>
      <w:tr>
        <w:tblPrEx>
          <w:tblLayout w:type="fixed"/>
          <w:tblCellMar>
            <w:top w:w="0" w:type="dxa"/>
            <w:left w:w="0" w:type="dxa"/>
            <w:bottom w:w="0" w:type="dxa"/>
            <w:right w:w="0" w:type="dxa"/>
          </w:tblCellMar>
        </w:tblPrEx>
        <w:trPr>
          <w:jc w:val="center"/>
        </w:trPr>
        <w:tc>
          <w:tcPr>
            <w:tcW w:w="11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jc w:val="center"/>
              <w:rPr>
                <w:rFonts w:hint="eastAsia" w:ascii="宋体" w:hAnsi="宋体" w:cs="宋体"/>
                <w:kern w:val="0"/>
                <w:szCs w:val="21"/>
                <w:highlight w:val="none"/>
              </w:rPr>
            </w:pPr>
            <w:r>
              <w:rPr>
                <w:rFonts w:hint="eastAsia" w:ascii="宋体" w:hAnsi="宋体" w:cs="宋体"/>
                <w:kern w:val="0"/>
                <w:szCs w:val="21"/>
                <w:highlight w:val="none"/>
              </w:rPr>
              <w:t>1.1.4</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ind w:hanging="8"/>
              <w:jc w:val="center"/>
              <w:rPr>
                <w:rFonts w:hint="eastAsia" w:ascii="宋体" w:hAnsi="宋体" w:cs="宋体"/>
                <w:kern w:val="0"/>
                <w:szCs w:val="21"/>
                <w:highlight w:val="none"/>
              </w:rPr>
            </w:pPr>
            <w:r>
              <w:rPr>
                <w:rFonts w:hint="eastAsia" w:ascii="宋体" w:hAnsi="宋体" w:cs="宋体"/>
                <w:kern w:val="0"/>
                <w:szCs w:val="21"/>
                <w:highlight w:val="none"/>
              </w:rPr>
              <w:t>招标</w:t>
            </w:r>
            <w:r>
              <w:rPr>
                <w:rFonts w:hint="eastAsia" w:ascii="宋体" w:hAnsi="宋体" w:cs="宋体"/>
                <w:spacing w:val="-2"/>
                <w:kern w:val="0"/>
                <w:szCs w:val="21"/>
                <w:highlight w:val="none"/>
              </w:rPr>
              <w:t>项</w:t>
            </w:r>
            <w:r>
              <w:rPr>
                <w:rFonts w:hint="eastAsia" w:ascii="宋体" w:hAnsi="宋体" w:cs="宋体"/>
                <w:kern w:val="0"/>
                <w:szCs w:val="21"/>
                <w:highlight w:val="none"/>
              </w:rPr>
              <w:t>目</w:t>
            </w:r>
            <w:r>
              <w:rPr>
                <w:rFonts w:hint="eastAsia" w:ascii="宋体" w:hAnsi="宋体" w:cs="宋体"/>
                <w:spacing w:val="-2"/>
                <w:kern w:val="0"/>
                <w:szCs w:val="21"/>
                <w:highlight w:val="none"/>
              </w:rPr>
              <w:t>名</w:t>
            </w:r>
            <w:r>
              <w:rPr>
                <w:rFonts w:hint="eastAsia" w:ascii="宋体" w:hAnsi="宋体" w:cs="宋体"/>
                <w:kern w:val="0"/>
                <w:szCs w:val="21"/>
                <w:highlight w:val="none"/>
              </w:rPr>
              <w:t>称</w:t>
            </w:r>
          </w:p>
        </w:tc>
        <w:tc>
          <w:tcPr>
            <w:tcW w:w="645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重庆新机场</w:t>
            </w:r>
            <w:r>
              <w:rPr>
                <w:rFonts w:hint="eastAsia" w:ascii="宋体" w:hAnsi="宋体" w:cs="宋体"/>
                <w:kern w:val="0"/>
                <w:szCs w:val="21"/>
                <w:highlight w:val="none"/>
                <w:lang w:eastAsia="zh-CN"/>
              </w:rPr>
              <w:t>防洪专项研究</w:t>
            </w:r>
          </w:p>
        </w:tc>
      </w:tr>
      <w:tr>
        <w:tblPrEx>
          <w:tblLayout w:type="fixed"/>
          <w:tblCellMar>
            <w:top w:w="0" w:type="dxa"/>
            <w:left w:w="0" w:type="dxa"/>
            <w:bottom w:w="0" w:type="dxa"/>
            <w:right w:w="0" w:type="dxa"/>
          </w:tblCellMar>
        </w:tblPrEx>
        <w:trPr>
          <w:jc w:val="center"/>
        </w:trPr>
        <w:tc>
          <w:tcPr>
            <w:tcW w:w="11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jc w:val="center"/>
              <w:rPr>
                <w:rFonts w:hint="eastAsia" w:ascii="宋体" w:hAnsi="宋体" w:cs="宋体"/>
                <w:kern w:val="0"/>
                <w:szCs w:val="21"/>
                <w:highlight w:val="none"/>
              </w:rPr>
            </w:pPr>
            <w:r>
              <w:rPr>
                <w:rFonts w:hint="eastAsia" w:ascii="宋体" w:hAnsi="宋体" w:cs="宋体"/>
                <w:kern w:val="0"/>
                <w:szCs w:val="21"/>
                <w:highlight w:val="none"/>
              </w:rPr>
              <w:t>1.1.5</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ind w:hanging="8"/>
              <w:jc w:val="center"/>
              <w:rPr>
                <w:rFonts w:hint="eastAsia" w:ascii="宋体" w:hAnsi="宋体" w:cs="宋体"/>
                <w:kern w:val="0"/>
                <w:szCs w:val="21"/>
                <w:highlight w:val="none"/>
              </w:rPr>
            </w:pPr>
            <w:r>
              <w:rPr>
                <w:rFonts w:hint="eastAsia" w:ascii="宋体" w:hAnsi="宋体" w:cs="宋体"/>
                <w:kern w:val="0"/>
                <w:szCs w:val="21"/>
                <w:highlight w:val="none"/>
              </w:rPr>
              <w:t>项目</w:t>
            </w:r>
            <w:r>
              <w:rPr>
                <w:rFonts w:hint="eastAsia" w:ascii="宋体" w:hAnsi="宋体" w:cs="宋体"/>
                <w:spacing w:val="-2"/>
                <w:kern w:val="0"/>
                <w:szCs w:val="21"/>
                <w:highlight w:val="none"/>
              </w:rPr>
              <w:t>地</w:t>
            </w:r>
            <w:r>
              <w:rPr>
                <w:rFonts w:hint="eastAsia" w:ascii="宋体" w:hAnsi="宋体" w:cs="宋体"/>
                <w:kern w:val="0"/>
                <w:szCs w:val="21"/>
                <w:highlight w:val="none"/>
              </w:rPr>
              <w:t>点</w:t>
            </w:r>
          </w:p>
        </w:tc>
        <w:tc>
          <w:tcPr>
            <w:tcW w:w="645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ind w:firstLine="420" w:firstLineChars="200"/>
              <w:jc w:val="left"/>
              <w:rPr>
                <w:rFonts w:hint="eastAsia" w:ascii="宋体" w:hAnsi="宋体" w:cs="宋体"/>
                <w:i/>
                <w:snapToGrid w:val="0"/>
                <w:kern w:val="0"/>
                <w:szCs w:val="21"/>
                <w:highlight w:val="none"/>
              </w:rPr>
            </w:pPr>
            <w:r>
              <w:rPr>
                <w:rFonts w:hint="eastAsia" w:ascii="宋体" w:hAnsi="宋体" w:cs="宋体"/>
                <w:szCs w:val="21"/>
                <w:highlight w:val="none"/>
              </w:rPr>
              <w:t>重庆新机场推荐场址</w:t>
            </w:r>
          </w:p>
        </w:tc>
      </w:tr>
      <w:tr>
        <w:tblPrEx>
          <w:tblLayout w:type="fixed"/>
          <w:tblCellMar>
            <w:top w:w="0" w:type="dxa"/>
            <w:left w:w="0" w:type="dxa"/>
            <w:bottom w:w="0" w:type="dxa"/>
            <w:right w:w="0" w:type="dxa"/>
          </w:tblCellMar>
        </w:tblPrEx>
        <w:trPr>
          <w:jc w:val="center"/>
        </w:trPr>
        <w:tc>
          <w:tcPr>
            <w:tcW w:w="11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jc w:val="center"/>
              <w:rPr>
                <w:rFonts w:hint="eastAsia" w:ascii="宋体" w:hAnsi="宋体" w:cs="宋体"/>
                <w:kern w:val="0"/>
                <w:szCs w:val="21"/>
                <w:highlight w:val="none"/>
              </w:rPr>
            </w:pPr>
            <w:r>
              <w:rPr>
                <w:rFonts w:hint="eastAsia" w:ascii="宋体" w:hAnsi="宋体" w:cs="宋体"/>
                <w:kern w:val="0"/>
                <w:szCs w:val="21"/>
                <w:highlight w:val="none"/>
              </w:rPr>
              <w:t>1.1.6</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ind w:hanging="8"/>
              <w:jc w:val="center"/>
              <w:rPr>
                <w:rFonts w:hint="eastAsia" w:ascii="宋体" w:hAnsi="宋体" w:cs="宋体"/>
                <w:kern w:val="0"/>
                <w:szCs w:val="21"/>
                <w:highlight w:val="none"/>
              </w:rPr>
            </w:pPr>
            <w:r>
              <w:rPr>
                <w:rFonts w:hint="eastAsia" w:ascii="宋体" w:hAnsi="宋体" w:cs="宋体"/>
                <w:kern w:val="0"/>
                <w:szCs w:val="21"/>
                <w:highlight w:val="none"/>
              </w:rPr>
              <w:t>项目</w:t>
            </w:r>
            <w:r>
              <w:rPr>
                <w:rFonts w:hint="eastAsia" w:ascii="宋体" w:hAnsi="宋体" w:cs="宋体"/>
                <w:spacing w:val="-2"/>
                <w:kern w:val="0"/>
                <w:szCs w:val="21"/>
                <w:highlight w:val="none"/>
              </w:rPr>
              <w:t>规</w:t>
            </w:r>
            <w:r>
              <w:rPr>
                <w:rFonts w:hint="eastAsia" w:ascii="宋体" w:hAnsi="宋体" w:cs="宋体"/>
                <w:kern w:val="0"/>
                <w:szCs w:val="21"/>
                <w:highlight w:val="none"/>
              </w:rPr>
              <w:t>模</w:t>
            </w:r>
          </w:p>
        </w:tc>
        <w:tc>
          <w:tcPr>
            <w:tcW w:w="645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ind w:firstLine="420" w:firstLineChars="200"/>
              <w:jc w:val="left"/>
              <w:rPr>
                <w:rFonts w:hint="eastAsia" w:ascii="宋体" w:hAnsi="宋体" w:cs="宋体"/>
                <w:kern w:val="0"/>
                <w:szCs w:val="21"/>
                <w:highlight w:val="none"/>
              </w:rPr>
            </w:pPr>
            <w:r>
              <w:rPr>
                <w:rFonts w:hint="eastAsia" w:ascii="宋体" w:hAnsi="宋体" w:cs="宋体"/>
                <w:snapToGrid w:val="0"/>
                <w:kern w:val="0"/>
                <w:szCs w:val="21"/>
                <w:highlight w:val="none"/>
              </w:rPr>
              <w:t>见招标公告</w:t>
            </w:r>
          </w:p>
        </w:tc>
      </w:tr>
      <w:tr>
        <w:tblPrEx>
          <w:tblLayout w:type="fixed"/>
          <w:tblCellMar>
            <w:top w:w="0" w:type="dxa"/>
            <w:left w:w="0" w:type="dxa"/>
            <w:bottom w:w="0" w:type="dxa"/>
            <w:right w:w="0" w:type="dxa"/>
          </w:tblCellMar>
        </w:tblPrEx>
        <w:trPr>
          <w:jc w:val="center"/>
        </w:trPr>
        <w:tc>
          <w:tcPr>
            <w:tcW w:w="11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jc w:val="center"/>
              <w:rPr>
                <w:rFonts w:hint="eastAsia" w:ascii="宋体" w:hAnsi="宋体" w:cs="宋体"/>
                <w:kern w:val="0"/>
                <w:szCs w:val="21"/>
                <w:highlight w:val="none"/>
              </w:rPr>
            </w:pPr>
            <w:r>
              <w:rPr>
                <w:rFonts w:hint="eastAsia" w:ascii="宋体" w:hAnsi="宋体" w:cs="宋体"/>
                <w:kern w:val="0"/>
                <w:szCs w:val="21"/>
                <w:highlight w:val="none"/>
              </w:rPr>
              <w:t>1.2.1</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ind w:hanging="8"/>
              <w:jc w:val="center"/>
              <w:rPr>
                <w:rFonts w:hint="eastAsia" w:ascii="宋体" w:hAnsi="宋体" w:cs="宋体"/>
                <w:kern w:val="0"/>
                <w:szCs w:val="21"/>
                <w:highlight w:val="none"/>
              </w:rPr>
            </w:pPr>
            <w:r>
              <w:rPr>
                <w:rFonts w:hint="eastAsia" w:ascii="宋体" w:hAnsi="宋体" w:cs="宋体"/>
                <w:kern w:val="0"/>
                <w:szCs w:val="21"/>
                <w:highlight w:val="none"/>
              </w:rPr>
              <w:t>资金</w:t>
            </w:r>
            <w:r>
              <w:rPr>
                <w:rFonts w:hint="eastAsia" w:ascii="宋体" w:hAnsi="宋体" w:cs="宋体"/>
                <w:spacing w:val="-2"/>
                <w:kern w:val="0"/>
                <w:szCs w:val="21"/>
                <w:highlight w:val="none"/>
              </w:rPr>
              <w:t>来</w:t>
            </w:r>
            <w:r>
              <w:rPr>
                <w:rFonts w:hint="eastAsia" w:ascii="宋体" w:hAnsi="宋体" w:cs="宋体"/>
                <w:kern w:val="0"/>
                <w:szCs w:val="21"/>
                <w:highlight w:val="none"/>
              </w:rPr>
              <w:t>源</w:t>
            </w:r>
          </w:p>
        </w:tc>
        <w:tc>
          <w:tcPr>
            <w:tcW w:w="645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企业自筹</w:t>
            </w:r>
          </w:p>
        </w:tc>
      </w:tr>
      <w:tr>
        <w:tblPrEx>
          <w:tblLayout w:type="fixed"/>
          <w:tblCellMar>
            <w:top w:w="0" w:type="dxa"/>
            <w:left w:w="0" w:type="dxa"/>
            <w:bottom w:w="0" w:type="dxa"/>
            <w:right w:w="0" w:type="dxa"/>
          </w:tblCellMar>
        </w:tblPrEx>
        <w:trPr>
          <w:jc w:val="center"/>
        </w:trPr>
        <w:tc>
          <w:tcPr>
            <w:tcW w:w="11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jc w:val="center"/>
              <w:rPr>
                <w:rFonts w:hint="eastAsia" w:ascii="宋体" w:hAnsi="宋体" w:cs="宋体"/>
                <w:kern w:val="0"/>
                <w:szCs w:val="21"/>
                <w:highlight w:val="none"/>
              </w:rPr>
            </w:pPr>
            <w:r>
              <w:rPr>
                <w:rFonts w:hint="eastAsia" w:ascii="宋体" w:hAnsi="宋体" w:cs="宋体"/>
                <w:kern w:val="0"/>
                <w:szCs w:val="21"/>
                <w:highlight w:val="none"/>
              </w:rPr>
              <w:t>1.2.2</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ind w:hanging="8"/>
              <w:jc w:val="center"/>
              <w:rPr>
                <w:rFonts w:hint="eastAsia" w:ascii="宋体" w:hAnsi="宋体" w:cs="宋体"/>
                <w:kern w:val="0"/>
                <w:szCs w:val="21"/>
                <w:highlight w:val="none"/>
              </w:rPr>
            </w:pPr>
            <w:r>
              <w:rPr>
                <w:rFonts w:hint="eastAsia" w:ascii="宋体" w:hAnsi="宋体" w:cs="宋体"/>
                <w:kern w:val="0"/>
                <w:szCs w:val="21"/>
                <w:highlight w:val="none"/>
              </w:rPr>
              <w:t>资金</w:t>
            </w:r>
            <w:r>
              <w:rPr>
                <w:rFonts w:hint="eastAsia" w:ascii="宋体" w:hAnsi="宋体" w:cs="宋体"/>
                <w:spacing w:val="-2"/>
                <w:kern w:val="0"/>
                <w:szCs w:val="21"/>
                <w:highlight w:val="none"/>
              </w:rPr>
              <w:t>落</w:t>
            </w:r>
            <w:r>
              <w:rPr>
                <w:rFonts w:hint="eastAsia" w:ascii="宋体" w:hAnsi="宋体" w:cs="宋体"/>
                <w:kern w:val="0"/>
                <w:szCs w:val="21"/>
                <w:highlight w:val="none"/>
              </w:rPr>
              <w:t>实</w:t>
            </w:r>
            <w:r>
              <w:rPr>
                <w:rFonts w:hint="eastAsia" w:ascii="宋体" w:hAnsi="宋体" w:cs="宋体"/>
                <w:spacing w:val="-2"/>
                <w:kern w:val="0"/>
                <w:szCs w:val="21"/>
                <w:highlight w:val="none"/>
              </w:rPr>
              <w:t>情</w:t>
            </w:r>
            <w:r>
              <w:rPr>
                <w:rFonts w:hint="eastAsia" w:ascii="宋体" w:hAnsi="宋体" w:cs="宋体"/>
                <w:kern w:val="0"/>
                <w:szCs w:val="21"/>
                <w:highlight w:val="none"/>
              </w:rPr>
              <w:t>况</w:t>
            </w:r>
          </w:p>
        </w:tc>
        <w:tc>
          <w:tcPr>
            <w:tcW w:w="645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ind w:firstLine="420" w:firstLineChars="200"/>
              <w:jc w:val="left"/>
              <w:rPr>
                <w:rFonts w:hint="eastAsia" w:ascii="宋体" w:hAnsi="宋体" w:cs="宋体"/>
                <w:kern w:val="0"/>
                <w:szCs w:val="21"/>
                <w:highlight w:val="none"/>
              </w:rPr>
            </w:pPr>
            <w:r>
              <w:rPr>
                <w:rFonts w:hint="eastAsia" w:ascii="宋体" w:hAnsi="宋体" w:cs="宋体"/>
                <w:szCs w:val="21"/>
                <w:highlight w:val="none"/>
                <w:u w:val="single"/>
              </w:rPr>
              <w:t>已落实</w:t>
            </w:r>
          </w:p>
        </w:tc>
      </w:tr>
      <w:tr>
        <w:tblPrEx>
          <w:tblLayout w:type="fixed"/>
          <w:tblCellMar>
            <w:top w:w="0" w:type="dxa"/>
            <w:left w:w="0" w:type="dxa"/>
            <w:bottom w:w="0" w:type="dxa"/>
            <w:right w:w="0" w:type="dxa"/>
          </w:tblCellMar>
        </w:tblPrEx>
        <w:trPr>
          <w:jc w:val="center"/>
        </w:trPr>
        <w:tc>
          <w:tcPr>
            <w:tcW w:w="11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jc w:val="center"/>
              <w:rPr>
                <w:rFonts w:hint="eastAsia" w:ascii="宋体" w:hAnsi="宋体" w:cs="宋体"/>
                <w:kern w:val="0"/>
                <w:szCs w:val="21"/>
                <w:highlight w:val="none"/>
              </w:rPr>
            </w:pPr>
            <w:r>
              <w:rPr>
                <w:rFonts w:hint="eastAsia" w:ascii="宋体" w:hAnsi="宋体" w:cs="宋体"/>
                <w:kern w:val="0"/>
                <w:szCs w:val="21"/>
                <w:highlight w:val="none"/>
              </w:rPr>
              <w:t>1.3.1</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ind w:hanging="8"/>
              <w:jc w:val="center"/>
              <w:rPr>
                <w:rFonts w:hint="eastAsia" w:ascii="宋体" w:hAnsi="宋体" w:cs="宋体"/>
                <w:kern w:val="0"/>
                <w:szCs w:val="21"/>
                <w:highlight w:val="none"/>
              </w:rPr>
            </w:pPr>
            <w:r>
              <w:rPr>
                <w:rFonts w:hint="eastAsia" w:ascii="宋体" w:hAnsi="宋体" w:cs="宋体"/>
                <w:kern w:val="0"/>
                <w:szCs w:val="21"/>
                <w:highlight w:val="none"/>
              </w:rPr>
              <w:t>招标</w:t>
            </w:r>
            <w:r>
              <w:rPr>
                <w:rFonts w:hint="eastAsia" w:ascii="宋体" w:hAnsi="宋体" w:cs="宋体"/>
                <w:spacing w:val="-2"/>
                <w:kern w:val="0"/>
                <w:szCs w:val="21"/>
                <w:highlight w:val="none"/>
              </w:rPr>
              <w:t>范</w:t>
            </w:r>
            <w:r>
              <w:rPr>
                <w:rFonts w:hint="eastAsia" w:ascii="宋体" w:hAnsi="宋体" w:cs="宋体"/>
                <w:kern w:val="0"/>
                <w:szCs w:val="21"/>
                <w:highlight w:val="none"/>
              </w:rPr>
              <w:t>围</w:t>
            </w:r>
          </w:p>
        </w:tc>
        <w:tc>
          <w:tcPr>
            <w:tcW w:w="645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ind w:firstLine="420" w:firstLineChars="200"/>
              <w:jc w:val="left"/>
              <w:rPr>
                <w:rFonts w:hint="eastAsia" w:ascii="宋体" w:hAnsi="宋体" w:cs="宋体"/>
                <w:kern w:val="0"/>
                <w:szCs w:val="21"/>
                <w:highlight w:val="none"/>
              </w:rPr>
            </w:pPr>
            <w:r>
              <w:rPr>
                <w:rFonts w:hint="eastAsia" w:ascii="宋体" w:hAnsi="宋体" w:cs="宋体"/>
                <w:szCs w:val="21"/>
                <w:highlight w:val="none"/>
                <w:u w:val="single"/>
              </w:rPr>
              <w:t>见招标公告</w:t>
            </w:r>
          </w:p>
        </w:tc>
      </w:tr>
      <w:tr>
        <w:tblPrEx>
          <w:tblLayout w:type="fixed"/>
          <w:tblCellMar>
            <w:top w:w="0" w:type="dxa"/>
            <w:left w:w="0" w:type="dxa"/>
            <w:bottom w:w="0" w:type="dxa"/>
            <w:right w:w="0" w:type="dxa"/>
          </w:tblCellMar>
        </w:tblPrEx>
        <w:trPr>
          <w:trHeight w:val="375" w:hRule="atLeast"/>
          <w:jc w:val="center"/>
        </w:trPr>
        <w:tc>
          <w:tcPr>
            <w:tcW w:w="11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jc w:val="center"/>
              <w:rPr>
                <w:rFonts w:hint="eastAsia" w:ascii="宋体" w:hAnsi="宋体" w:cs="宋体"/>
                <w:kern w:val="0"/>
                <w:szCs w:val="21"/>
                <w:highlight w:val="none"/>
              </w:rPr>
            </w:pPr>
            <w:r>
              <w:rPr>
                <w:rFonts w:hint="eastAsia" w:ascii="宋体" w:hAnsi="宋体" w:cs="宋体"/>
                <w:kern w:val="0"/>
                <w:szCs w:val="21"/>
                <w:highlight w:val="none"/>
              </w:rPr>
              <w:t>1.3.2</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ind w:hanging="8"/>
              <w:jc w:val="center"/>
              <w:rPr>
                <w:rFonts w:hint="eastAsia" w:ascii="宋体" w:hAnsi="宋体" w:cs="宋体"/>
                <w:kern w:val="0"/>
                <w:szCs w:val="21"/>
                <w:highlight w:val="none"/>
              </w:rPr>
            </w:pPr>
            <w:r>
              <w:rPr>
                <w:rFonts w:hint="eastAsia" w:ascii="宋体" w:hAnsi="宋体" w:cs="宋体"/>
                <w:spacing w:val="-2"/>
                <w:kern w:val="0"/>
                <w:szCs w:val="21"/>
                <w:highlight w:val="none"/>
              </w:rPr>
              <w:t>服</w:t>
            </w:r>
            <w:r>
              <w:rPr>
                <w:rFonts w:hint="eastAsia" w:ascii="宋体" w:hAnsi="宋体" w:cs="宋体"/>
                <w:kern w:val="0"/>
                <w:szCs w:val="21"/>
                <w:highlight w:val="none"/>
              </w:rPr>
              <w:t>务</w:t>
            </w:r>
            <w:r>
              <w:rPr>
                <w:rFonts w:hint="eastAsia" w:ascii="宋体" w:hAnsi="宋体" w:cs="宋体"/>
                <w:spacing w:val="-2"/>
                <w:kern w:val="0"/>
                <w:szCs w:val="21"/>
                <w:highlight w:val="none"/>
              </w:rPr>
              <w:t>期</w:t>
            </w:r>
            <w:r>
              <w:rPr>
                <w:rFonts w:hint="eastAsia" w:ascii="宋体" w:hAnsi="宋体" w:cs="宋体"/>
                <w:kern w:val="0"/>
                <w:szCs w:val="21"/>
                <w:highlight w:val="none"/>
              </w:rPr>
              <w:t>限</w:t>
            </w:r>
          </w:p>
        </w:tc>
        <w:tc>
          <w:tcPr>
            <w:tcW w:w="645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ind w:firstLine="420" w:firstLineChars="200"/>
              <w:jc w:val="left"/>
              <w:rPr>
                <w:rFonts w:hint="eastAsia" w:ascii="宋体" w:hAnsi="宋体" w:cs="宋体"/>
                <w:kern w:val="0"/>
                <w:szCs w:val="21"/>
                <w:highlight w:val="none"/>
              </w:rPr>
            </w:pPr>
            <w:r>
              <w:rPr>
                <w:rFonts w:hint="eastAsia" w:ascii="宋体" w:hAnsi="宋体" w:cs="宋体"/>
                <w:snapToGrid w:val="0"/>
                <w:kern w:val="0"/>
                <w:szCs w:val="21"/>
                <w:highlight w:val="none"/>
                <w:u w:val="single"/>
              </w:rPr>
              <w:t>见招标公告</w:t>
            </w:r>
          </w:p>
        </w:tc>
      </w:tr>
      <w:tr>
        <w:tblPrEx>
          <w:tblLayout w:type="fixed"/>
          <w:tblCellMar>
            <w:top w:w="0" w:type="dxa"/>
            <w:left w:w="0" w:type="dxa"/>
            <w:bottom w:w="0" w:type="dxa"/>
            <w:right w:w="0" w:type="dxa"/>
          </w:tblCellMar>
        </w:tblPrEx>
        <w:trPr>
          <w:jc w:val="center"/>
        </w:trPr>
        <w:tc>
          <w:tcPr>
            <w:tcW w:w="1164"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spacing w:afterLines="0" w:line="400" w:lineRule="exact"/>
              <w:jc w:val="center"/>
              <w:rPr>
                <w:rFonts w:hint="eastAsia" w:ascii="宋体" w:hAnsi="宋体" w:cs="宋体"/>
                <w:kern w:val="0"/>
                <w:szCs w:val="21"/>
                <w:highlight w:val="none"/>
              </w:rPr>
            </w:pPr>
            <w:r>
              <w:rPr>
                <w:rFonts w:hint="eastAsia" w:ascii="宋体" w:hAnsi="宋体" w:cs="宋体"/>
                <w:kern w:val="0"/>
                <w:szCs w:val="21"/>
                <w:highlight w:val="none"/>
              </w:rPr>
              <w:t>1.3.3</w:t>
            </w:r>
          </w:p>
        </w:tc>
        <w:tc>
          <w:tcPr>
            <w:tcW w:w="1701"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spacing w:afterLines="0" w:line="400" w:lineRule="exact"/>
              <w:jc w:val="center"/>
              <w:rPr>
                <w:rFonts w:hint="eastAsia" w:ascii="宋体" w:hAnsi="宋体" w:cs="宋体"/>
                <w:szCs w:val="21"/>
                <w:highlight w:val="none"/>
              </w:rPr>
            </w:pPr>
            <w:r>
              <w:rPr>
                <w:rFonts w:hint="eastAsia" w:ascii="宋体" w:hAnsi="宋体" w:cs="宋体"/>
                <w:szCs w:val="21"/>
                <w:highlight w:val="none"/>
              </w:rPr>
              <w:t>质量标准</w:t>
            </w:r>
          </w:p>
        </w:tc>
        <w:tc>
          <w:tcPr>
            <w:tcW w:w="6458"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spacing w:afterLines="0" w:line="400" w:lineRule="exact"/>
              <w:ind w:firstLine="420" w:firstLineChars="200"/>
              <w:jc w:val="left"/>
              <w:rPr>
                <w:rFonts w:hint="eastAsia" w:ascii="宋体" w:hAnsi="宋体" w:cs="宋体"/>
                <w:szCs w:val="21"/>
                <w:highlight w:val="none"/>
              </w:rPr>
            </w:pPr>
            <w:r>
              <w:rPr>
                <w:rFonts w:hint="eastAsia" w:ascii="宋体" w:hAnsi="宋体" w:cs="宋体"/>
                <w:highlight w:val="none"/>
                <w:u w:val="single"/>
              </w:rPr>
              <w:t>满足本招标文件、服务合同及技术标准和要求。</w:t>
            </w:r>
          </w:p>
        </w:tc>
      </w:tr>
      <w:tr>
        <w:tblPrEx>
          <w:tblLayout w:type="fixed"/>
          <w:tblCellMar>
            <w:top w:w="0" w:type="dxa"/>
            <w:left w:w="0" w:type="dxa"/>
            <w:bottom w:w="0" w:type="dxa"/>
            <w:right w:w="0" w:type="dxa"/>
          </w:tblCellMar>
        </w:tblPrEx>
        <w:trPr>
          <w:jc w:val="center"/>
        </w:trPr>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Lines="0" w:line="400" w:lineRule="exact"/>
              <w:jc w:val="center"/>
              <w:rPr>
                <w:rFonts w:hint="eastAsia" w:ascii="宋体" w:hAnsi="宋体" w:cs="宋体"/>
                <w:kern w:val="0"/>
                <w:szCs w:val="21"/>
                <w:highlight w:val="none"/>
              </w:rPr>
            </w:pPr>
            <w:r>
              <w:rPr>
                <w:rFonts w:hint="eastAsia" w:ascii="宋体" w:hAnsi="宋体" w:cs="宋体"/>
                <w:kern w:val="0"/>
                <w:szCs w:val="21"/>
                <w:highlight w:val="none"/>
              </w:rPr>
              <w:t>1.4.1</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Lines="0" w:line="400" w:lineRule="exact"/>
              <w:ind w:hanging="8"/>
              <w:jc w:val="center"/>
              <w:rPr>
                <w:rFonts w:hint="eastAsia" w:ascii="宋体" w:hAnsi="宋体" w:cs="宋体"/>
                <w:kern w:val="0"/>
                <w:szCs w:val="21"/>
                <w:highlight w:val="none"/>
              </w:rPr>
            </w:pPr>
            <w:r>
              <w:rPr>
                <w:rFonts w:hint="eastAsia" w:ascii="宋体" w:hAnsi="宋体" w:cs="宋体"/>
                <w:kern w:val="0"/>
                <w:szCs w:val="21"/>
                <w:highlight w:val="none"/>
              </w:rPr>
              <w:t>投标</w:t>
            </w:r>
            <w:r>
              <w:rPr>
                <w:rFonts w:hint="eastAsia" w:ascii="宋体" w:hAnsi="宋体" w:cs="宋体"/>
                <w:spacing w:val="-2"/>
                <w:kern w:val="0"/>
                <w:szCs w:val="21"/>
                <w:highlight w:val="none"/>
              </w:rPr>
              <w:t>人</w:t>
            </w:r>
            <w:r>
              <w:rPr>
                <w:rFonts w:hint="eastAsia" w:ascii="宋体" w:hAnsi="宋体" w:cs="宋体"/>
                <w:kern w:val="0"/>
                <w:szCs w:val="21"/>
                <w:highlight w:val="none"/>
              </w:rPr>
              <w:t>资</w:t>
            </w:r>
            <w:r>
              <w:rPr>
                <w:rFonts w:hint="eastAsia" w:ascii="宋体" w:hAnsi="宋体" w:cs="宋体"/>
                <w:spacing w:val="-2"/>
                <w:kern w:val="0"/>
                <w:szCs w:val="21"/>
                <w:highlight w:val="none"/>
              </w:rPr>
              <w:t>质</w:t>
            </w:r>
            <w:r>
              <w:rPr>
                <w:rFonts w:hint="eastAsia" w:ascii="宋体" w:hAnsi="宋体" w:cs="宋体"/>
                <w:kern w:val="0"/>
                <w:szCs w:val="21"/>
                <w:highlight w:val="none"/>
              </w:rPr>
              <w:t>条</w:t>
            </w:r>
            <w:r>
              <w:rPr>
                <w:rFonts w:hint="eastAsia" w:ascii="宋体" w:hAnsi="宋体" w:cs="宋体"/>
                <w:spacing w:val="-2"/>
                <w:kern w:val="0"/>
                <w:szCs w:val="21"/>
                <w:highlight w:val="none"/>
              </w:rPr>
              <w:t>件</w:t>
            </w:r>
            <w:r>
              <w:rPr>
                <w:rFonts w:hint="eastAsia" w:ascii="宋体" w:hAnsi="宋体" w:cs="宋体"/>
                <w:kern w:val="0"/>
                <w:szCs w:val="21"/>
                <w:highlight w:val="none"/>
              </w:rPr>
              <w:t>、</w:t>
            </w:r>
            <w:r>
              <w:rPr>
                <w:rFonts w:hint="eastAsia" w:ascii="宋体" w:hAnsi="宋体" w:cs="宋体"/>
                <w:spacing w:val="-2"/>
                <w:kern w:val="0"/>
                <w:szCs w:val="21"/>
                <w:highlight w:val="none"/>
              </w:rPr>
              <w:t>能</w:t>
            </w:r>
            <w:r>
              <w:rPr>
                <w:rFonts w:hint="eastAsia" w:ascii="宋体" w:hAnsi="宋体" w:cs="宋体"/>
                <w:kern w:val="0"/>
                <w:szCs w:val="21"/>
                <w:highlight w:val="none"/>
              </w:rPr>
              <w:t>力</w:t>
            </w:r>
            <w:r>
              <w:rPr>
                <w:rFonts w:hint="eastAsia" w:ascii="宋体" w:hAnsi="宋体" w:cs="宋体"/>
                <w:spacing w:val="-2"/>
                <w:kern w:val="0"/>
                <w:szCs w:val="21"/>
                <w:highlight w:val="none"/>
              </w:rPr>
              <w:t>、</w:t>
            </w:r>
            <w:r>
              <w:rPr>
                <w:rFonts w:hint="eastAsia" w:ascii="宋体" w:hAnsi="宋体" w:cs="宋体"/>
                <w:kern w:val="0"/>
                <w:szCs w:val="21"/>
                <w:highlight w:val="none"/>
              </w:rPr>
              <w:t>信誉</w:t>
            </w:r>
          </w:p>
        </w:tc>
        <w:tc>
          <w:tcPr>
            <w:tcW w:w="645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Lines="0" w:line="400" w:lineRule="exact"/>
              <w:ind w:firstLine="415" w:firstLineChars="198"/>
              <w:rPr>
                <w:rFonts w:hint="eastAsia" w:ascii="宋体" w:hAnsi="宋体" w:cs="宋体"/>
                <w:szCs w:val="21"/>
                <w:highlight w:val="none"/>
              </w:rPr>
            </w:pPr>
            <w:bookmarkStart w:id="20" w:name="OLE_LINK1"/>
            <w:r>
              <w:rPr>
                <w:rFonts w:hint="eastAsia" w:ascii="宋体" w:hAnsi="宋体" w:cs="宋体"/>
                <w:szCs w:val="21"/>
                <w:highlight w:val="none"/>
              </w:rPr>
              <w:t>本工程施工招标实行资格后审，投标人应</w:t>
            </w:r>
            <w:bookmarkStart w:id="21" w:name="一是"/>
            <w:bookmarkEnd w:id="21"/>
            <w:r>
              <w:rPr>
                <w:rFonts w:hint="eastAsia" w:ascii="宋体" w:hAnsi="宋体" w:cs="宋体"/>
                <w:szCs w:val="21"/>
                <w:highlight w:val="none"/>
              </w:rPr>
              <w:t>具备以下资格条件：</w:t>
            </w:r>
          </w:p>
          <w:bookmarkEnd w:id="20"/>
          <w:p>
            <w:pPr>
              <w:autoSpaceDE w:val="0"/>
              <w:autoSpaceDN w:val="0"/>
              <w:adjustRightInd w:val="0"/>
              <w:snapToGrid w:val="0"/>
              <w:spacing w:afterLines="0" w:line="400" w:lineRule="exact"/>
              <w:ind w:left="416" w:leftChars="198"/>
              <w:rPr>
                <w:rFonts w:hint="eastAsia" w:ascii="宋体" w:hAnsi="宋体" w:cs="宋体"/>
                <w:szCs w:val="21"/>
                <w:highlight w:val="none"/>
              </w:rPr>
            </w:pPr>
            <w:r>
              <w:rPr>
                <w:rFonts w:hint="eastAsia" w:ascii="宋体" w:hAnsi="宋体" w:cs="宋体"/>
                <w:b/>
                <w:bCs/>
                <w:szCs w:val="21"/>
                <w:highlight w:val="none"/>
              </w:rPr>
              <w:t>1.营业执照</w:t>
            </w:r>
          </w:p>
          <w:p>
            <w:pPr>
              <w:autoSpaceDE w:val="0"/>
              <w:autoSpaceDN w:val="0"/>
              <w:adjustRightInd w:val="0"/>
              <w:snapToGrid w:val="0"/>
              <w:spacing w:afterLines="0" w:line="400" w:lineRule="exact"/>
              <w:ind w:firstLine="415" w:firstLineChars="198"/>
              <w:rPr>
                <w:rFonts w:hint="eastAsia" w:ascii="宋体" w:hAnsi="宋体" w:cs="宋体"/>
                <w:szCs w:val="21"/>
                <w:highlight w:val="none"/>
              </w:rPr>
            </w:pPr>
            <w:r>
              <w:rPr>
                <w:rFonts w:hint="eastAsia" w:ascii="宋体" w:hAnsi="宋体" w:cs="宋体"/>
                <w:szCs w:val="21"/>
                <w:highlight w:val="none"/>
              </w:rPr>
              <w:t>投标人必须是具有独立承担民事责任能力的在中华人民共和国境内注册的法人组织，具备合法有效的营业执照。</w:t>
            </w:r>
          </w:p>
          <w:p>
            <w:pPr>
              <w:autoSpaceDE w:val="0"/>
              <w:autoSpaceDN w:val="0"/>
              <w:adjustRightInd w:val="0"/>
              <w:snapToGrid w:val="0"/>
              <w:spacing w:afterLines="0" w:line="400" w:lineRule="exact"/>
              <w:ind w:firstLine="417" w:firstLineChars="198"/>
              <w:rPr>
                <w:rFonts w:hint="eastAsia" w:ascii="宋体" w:hAnsi="宋体" w:cs="宋体"/>
                <w:b/>
                <w:bCs/>
                <w:szCs w:val="21"/>
                <w:highlight w:val="none"/>
              </w:rPr>
            </w:pPr>
            <w:r>
              <w:rPr>
                <w:rFonts w:hint="eastAsia" w:ascii="宋体" w:hAnsi="宋体" w:cs="宋体"/>
                <w:b/>
                <w:bCs/>
                <w:szCs w:val="21"/>
                <w:highlight w:val="none"/>
              </w:rPr>
              <w:t>提供：营业执照复印件。</w:t>
            </w:r>
          </w:p>
          <w:p>
            <w:pPr>
              <w:pStyle w:val="6"/>
              <w:spacing w:afterLines="0" w:line="400" w:lineRule="exact"/>
              <w:rPr>
                <w:rFonts w:hint="eastAsia" w:ascii="宋体" w:hAnsi="宋体" w:cs="宋体"/>
                <w:b/>
                <w:bCs/>
                <w:highlight w:val="none"/>
                <w:lang w:val="en-US" w:eastAsia="zh-CN"/>
              </w:rPr>
            </w:pPr>
            <w:r>
              <w:rPr>
                <w:rFonts w:hint="eastAsia" w:ascii="宋体" w:hAnsi="宋体" w:cs="宋体"/>
                <w:b/>
                <w:bCs/>
                <w:highlight w:val="none"/>
                <w:lang w:val="en-US" w:eastAsia="zh-CN"/>
              </w:rPr>
              <w:t>2.资质要求</w:t>
            </w:r>
          </w:p>
          <w:p>
            <w:pPr>
              <w:spacing w:afterLines="0" w:line="400" w:lineRule="exact"/>
              <w:ind w:firstLine="420" w:firstLineChars="200"/>
              <w:rPr>
                <w:rFonts w:hint="eastAsia" w:eastAsia="宋体"/>
                <w:sz w:val="21"/>
                <w:szCs w:val="21"/>
                <w:highlight w:val="none"/>
                <w:lang w:val="en-US" w:eastAsia="zh-CN"/>
              </w:rPr>
            </w:pPr>
            <w:r>
              <w:rPr>
                <w:rFonts w:hint="eastAsia"/>
                <w:kern w:val="0"/>
                <w:sz w:val="21"/>
                <w:szCs w:val="21"/>
                <w:highlight w:val="none"/>
                <w:lang w:val="en-US" w:eastAsia="zh-CN"/>
              </w:rPr>
              <w:t>投标人须具备</w:t>
            </w:r>
            <w:r>
              <w:rPr>
                <w:rFonts w:hint="eastAsia" w:ascii="Times New Roman" w:hAnsi="Times New Roman" w:cs="Times New Roman"/>
                <w:kern w:val="0"/>
                <w:szCs w:val="21"/>
                <w:highlight w:val="none"/>
                <w:shd w:val="clear"/>
              </w:rPr>
              <w:t>建设行政主管部门</w:t>
            </w:r>
            <w:r>
              <w:rPr>
                <w:rFonts w:hint="eastAsia"/>
                <w:kern w:val="0"/>
                <w:sz w:val="21"/>
                <w:szCs w:val="21"/>
                <w:highlight w:val="none"/>
                <w:lang w:val="en-US" w:eastAsia="zh-CN"/>
              </w:rPr>
              <w:t>颁发的有效的</w:t>
            </w:r>
            <w:r>
              <w:rPr>
                <w:rFonts w:hint="eastAsia"/>
                <w:kern w:val="0"/>
                <w:szCs w:val="21"/>
                <w:highlight w:val="none"/>
              </w:rPr>
              <w:t>工程设计水利行业甲级资质</w:t>
            </w:r>
            <w:r>
              <w:rPr>
                <w:rFonts w:hint="eastAsia"/>
                <w:kern w:val="0"/>
                <w:szCs w:val="21"/>
                <w:highlight w:val="none"/>
                <w:lang w:eastAsia="zh-CN"/>
              </w:rPr>
              <w:t>或工程设计综合甲级资质</w:t>
            </w:r>
            <w:r>
              <w:rPr>
                <w:rFonts w:hint="eastAsia"/>
                <w:sz w:val="21"/>
                <w:szCs w:val="21"/>
                <w:highlight w:val="none"/>
                <w:lang w:val="en-US"/>
              </w:rPr>
              <w:t>。</w:t>
            </w:r>
          </w:p>
          <w:p>
            <w:pPr>
              <w:autoSpaceDE w:val="0"/>
              <w:autoSpaceDN w:val="0"/>
              <w:adjustRightInd w:val="0"/>
              <w:snapToGrid w:val="0"/>
              <w:spacing w:afterLines="0" w:line="400" w:lineRule="exact"/>
              <w:ind w:firstLine="417" w:firstLineChars="198"/>
              <w:rPr>
                <w:rFonts w:hint="default"/>
                <w:sz w:val="21"/>
                <w:szCs w:val="21"/>
                <w:highlight w:val="none"/>
                <w:lang w:val="en-US" w:eastAsia="zh-CN"/>
              </w:rPr>
            </w:pPr>
            <w:r>
              <w:rPr>
                <w:rFonts w:hint="eastAsia" w:ascii="宋体" w:hAnsi="宋体" w:cs="宋体"/>
                <w:b/>
                <w:bCs/>
                <w:szCs w:val="21"/>
                <w:highlight w:val="none"/>
              </w:rPr>
              <w:t>提供：</w:t>
            </w:r>
            <w:r>
              <w:rPr>
                <w:rFonts w:hint="eastAsia" w:ascii="宋体" w:hAnsi="宋体" w:cs="宋体"/>
                <w:b/>
                <w:bCs/>
                <w:szCs w:val="21"/>
                <w:highlight w:val="none"/>
                <w:lang w:eastAsia="zh-CN"/>
              </w:rPr>
              <w:t>资质证书</w:t>
            </w:r>
            <w:r>
              <w:rPr>
                <w:rFonts w:hint="eastAsia" w:ascii="宋体" w:hAnsi="宋体" w:cs="宋体"/>
                <w:b/>
                <w:bCs/>
                <w:szCs w:val="21"/>
                <w:highlight w:val="none"/>
              </w:rPr>
              <w:t>复印件。</w:t>
            </w:r>
          </w:p>
          <w:p>
            <w:pPr>
              <w:pStyle w:val="7"/>
              <w:adjustRightInd w:val="0"/>
              <w:snapToGrid w:val="0"/>
              <w:spacing w:afterLines="0" w:line="400" w:lineRule="exact"/>
              <w:ind w:firstLine="422" w:firstLineChars="200"/>
              <w:rPr>
                <w:rFonts w:hint="eastAsia" w:ascii="宋体" w:hAnsi="宋体" w:cs="宋体"/>
                <w:b/>
                <w:szCs w:val="21"/>
                <w:highlight w:val="none"/>
              </w:rPr>
            </w:pPr>
            <w:r>
              <w:rPr>
                <w:rFonts w:hint="eastAsia" w:ascii="宋体" w:hAnsi="宋体" w:cs="宋体"/>
                <w:b/>
                <w:szCs w:val="21"/>
                <w:highlight w:val="none"/>
                <w:lang w:val="en-US" w:eastAsia="zh-CN"/>
              </w:rPr>
              <w:t>3</w:t>
            </w:r>
            <w:r>
              <w:rPr>
                <w:rFonts w:hint="eastAsia" w:ascii="宋体" w:hAnsi="宋体" w:cs="宋体"/>
                <w:b/>
                <w:szCs w:val="21"/>
                <w:highlight w:val="none"/>
              </w:rPr>
              <w:t>.人员要求</w:t>
            </w:r>
          </w:p>
          <w:p>
            <w:pPr>
              <w:pStyle w:val="7"/>
              <w:adjustRightInd w:val="0"/>
              <w:snapToGrid w:val="0"/>
              <w:spacing w:afterLines="0" w:line="400" w:lineRule="exact"/>
              <w:ind w:firstLine="420" w:firstLineChars="200"/>
              <w:rPr>
                <w:rFonts w:hint="eastAsia" w:ascii="宋体" w:hAnsi="宋体" w:cs="宋体"/>
                <w:bCs/>
                <w:szCs w:val="21"/>
                <w:highlight w:val="none"/>
              </w:rPr>
            </w:pPr>
            <w:r>
              <w:rPr>
                <w:rFonts w:hint="eastAsia" w:ascii="宋体" w:hAnsi="宋体" w:cs="宋体"/>
                <w:bCs/>
                <w:szCs w:val="21"/>
                <w:highlight w:val="none"/>
              </w:rPr>
              <w:t>项目负责人和技术负责人须同时满足以下要求：</w:t>
            </w:r>
          </w:p>
          <w:p>
            <w:pPr>
              <w:pStyle w:val="7"/>
              <w:adjustRightInd w:val="0"/>
              <w:snapToGrid w:val="0"/>
              <w:spacing w:afterLines="0" w:line="400" w:lineRule="exact"/>
              <w:ind w:firstLine="420" w:firstLineChars="200"/>
              <w:rPr>
                <w:rFonts w:hint="eastAsia" w:ascii="宋体" w:hAnsi="宋体" w:cs="宋体"/>
                <w:bCs/>
                <w:szCs w:val="21"/>
                <w:highlight w:val="none"/>
              </w:rPr>
            </w:pPr>
            <w:r>
              <w:rPr>
                <w:rFonts w:hint="eastAsia" w:ascii="宋体" w:hAnsi="宋体" w:cs="宋体"/>
                <w:bCs/>
                <w:szCs w:val="21"/>
                <w:highlight w:val="none"/>
              </w:rPr>
              <w:t>（1）须为投标人本单位在职员工；</w:t>
            </w:r>
          </w:p>
          <w:p>
            <w:pPr>
              <w:pStyle w:val="7"/>
              <w:adjustRightInd w:val="0"/>
              <w:snapToGrid w:val="0"/>
              <w:spacing w:afterLines="0" w:line="400" w:lineRule="exact"/>
              <w:ind w:firstLine="420" w:firstLineChars="200"/>
              <w:rPr>
                <w:rFonts w:hint="eastAsia" w:ascii="宋体" w:hAnsi="宋体" w:cs="宋体"/>
                <w:bCs/>
                <w:szCs w:val="21"/>
                <w:highlight w:val="none"/>
              </w:rPr>
            </w:pPr>
            <w:r>
              <w:rPr>
                <w:rFonts w:hint="eastAsia" w:ascii="宋体" w:hAnsi="宋体" w:cs="宋体"/>
                <w:bCs/>
                <w:szCs w:val="21"/>
                <w:highlight w:val="none"/>
              </w:rPr>
              <w:t>（2）具有水文类（或水工类）专业高级及以上职称。</w:t>
            </w:r>
          </w:p>
          <w:p>
            <w:pPr>
              <w:pStyle w:val="7"/>
              <w:adjustRightInd w:val="0"/>
              <w:snapToGrid w:val="0"/>
              <w:spacing w:afterLines="0" w:line="400" w:lineRule="exact"/>
              <w:ind w:firstLine="422" w:firstLineChars="200"/>
              <w:rPr>
                <w:rFonts w:hint="eastAsia" w:ascii="宋体" w:hAnsi="宋体" w:cs="宋体"/>
                <w:b/>
                <w:szCs w:val="21"/>
                <w:highlight w:val="none"/>
              </w:rPr>
            </w:pPr>
            <w:r>
              <w:rPr>
                <w:rFonts w:hint="eastAsia" w:ascii="宋体" w:hAnsi="宋体" w:cs="宋体"/>
                <w:b/>
                <w:szCs w:val="21"/>
                <w:highlight w:val="none"/>
              </w:rPr>
              <w:t>提供：</w:t>
            </w:r>
            <w:r>
              <w:rPr>
                <w:rFonts w:hint="eastAsia" w:ascii="宋体" w:hAnsi="宋体" w:cs="宋体"/>
                <w:b/>
                <w:szCs w:val="21"/>
                <w:highlight w:val="none"/>
                <w:lang w:val="en-US" w:eastAsia="zh-CN"/>
              </w:rPr>
              <w:t>上述人员</w:t>
            </w:r>
            <w:r>
              <w:rPr>
                <w:rFonts w:hint="eastAsia" w:ascii="宋体" w:hAnsi="宋体" w:cs="宋体"/>
                <w:b/>
                <w:szCs w:val="21"/>
                <w:highlight w:val="none"/>
              </w:rPr>
              <w:t>身份证、职称证、</w:t>
            </w:r>
            <w:r>
              <w:rPr>
                <w:rFonts w:hint="eastAsia" w:ascii="宋体" w:hAnsi="宋体"/>
                <w:b/>
                <w:kern w:val="0"/>
                <w:szCs w:val="21"/>
                <w:highlight w:val="none"/>
              </w:rPr>
              <w:t>投标人为其缴纳的养老保险证明材料</w:t>
            </w:r>
            <w:r>
              <w:rPr>
                <w:rFonts w:hint="eastAsia" w:ascii="宋体" w:hAnsi="宋体" w:cs="宋体"/>
                <w:b/>
                <w:szCs w:val="21"/>
                <w:highlight w:val="none"/>
              </w:rPr>
              <w:t>复印件。</w:t>
            </w:r>
          </w:p>
          <w:p>
            <w:pPr>
              <w:pStyle w:val="7"/>
              <w:adjustRightInd w:val="0"/>
              <w:snapToGrid w:val="0"/>
              <w:spacing w:afterLines="0" w:line="400" w:lineRule="exact"/>
              <w:ind w:firstLine="422" w:firstLineChars="200"/>
              <w:rPr>
                <w:rFonts w:hint="eastAsia" w:ascii="宋体" w:hAnsi="宋体" w:cs="宋体"/>
                <w:b/>
                <w:szCs w:val="21"/>
                <w:highlight w:val="none"/>
              </w:rPr>
            </w:pPr>
            <w:r>
              <w:rPr>
                <w:rFonts w:hint="eastAsia" w:ascii="宋体" w:hAnsi="宋体" w:cs="宋体"/>
                <w:b/>
                <w:szCs w:val="21"/>
                <w:highlight w:val="none"/>
              </w:rPr>
              <w:t>注：水工类包括水利水电工程、水工建筑、水工结构、水工技术专业、水利工程</w:t>
            </w:r>
            <w:r>
              <w:rPr>
                <w:rFonts w:hint="eastAsia" w:ascii="宋体" w:hAnsi="宋体" w:cs="宋体"/>
                <w:b/>
                <w:szCs w:val="21"/>
                <w:highlight w:val="none"/>
                <w:lang w:eastAsia="zh-CN"/>
              </w:rPr>
              <w:t>等</w:t>
            </w:r>
            <w:r>
              <w:rPr>
                <w:rFonts w:hint="eastAsia" w:ascii="宋体" w:hAnsi="宋体" w:cs="宋体"/>
                <w:b/>
                <w:szCs w:val="21"/>
                <w:highlight w:val="none"/>
              </w:rPr>
              <w:t>；水文类包括水文与水资源、水文水资源、陆地水文、水文学及水资源</w:t>
            </w:r>
            <w:r>
              <w:rPr>
                <w:rFonts w:hint="eastAsia" w:ascii="宋体" w:hAnsi="宋体" w:cs="宋体"/>
                <w:b/>
                <w:szCs w:val="21"/>
                <w:highlight w:val="none"/>
                <w:lang w:eastAsia="zh-CN"/>
              </w:rPr>
              <w:t>等</w:t>
            </w:r>
            <w:r>
              <w:rPr>
                <w:rFonts w:hint="eastAsia" w:ascii="宋体" w:hAnsi="宋体" w:cs="宋体"/>
                <w:b/>
                <w:szCs w:val="21"/>
                <w:highlight w:val="none"/>
              </w:rPr>
              <w:t>。</w:t>
            </w:r>
          </w:p>
          <w:p>
            <w:pPr>
              <w:pStyle w:val="7"/>
              <w:adjustRightInd w:val="0"/>
              <w:snapToGrid w:val="0"/>
              <w:spacing w:afterLines="0" w:line="400" w:lineRule="exact"/>
              <w:ind w:firstLine="422" w:firstLineChars="200"/>
              <w:rPr>
                <w:rFonts w:hint="eastAsia" w:ascii="宋体" w:hAnsi="宋体" w:cs="宋体"/>
                <w:b/>
                <w:szCs w:val="21"/>
                <w:highlight w:val="none"/>
              </w:rPr>
            </w:pPr>
            <w:r>
              <w:rPr>
                <w:rFonts w:hint="eastAsia" w:ascii="宋体" w:hAnsi="宋体" w:cs="宋体"/>
                <w:b/>
                <w:szCs w:val="21"/>
                <w:highlight w:val="none"/>
                <w:lang w:val="en-US" w:eastAsia="zh-CN"/>
              </w:rPr>
              <w:t>4</w:t>
            </w:r>
            <w:r>
              <w:rPr>
                <w:rFonts w:hint="eastAsia" w:ascii="宋体" w:hAnsi="宋体" w:cs="宋体"/>
                <w:b/>
                <w:szCs w:val="21"/>
                <w:highlight w:val="none"/>
              </w:rPr>
              <w:t>.投标截止日投标资格情况</w:t>
            </w:r>
          </w:p>
          <w:p>
            <w:pPr>
              <w:pStyle w:val="7"/>
              <w:adjustRightInd w:val="0"/>
              <w:snapToGrid w:val="0"/>
              <w:spacing w:afterLines="0" w:line="400" w:lineRule="exact"/>
              <w:ind w:firstLine="420" w:firstLineChars="200"/>
              <w:rPr>
                <w:rFonts w:ascii="宋体" w:hAnsi="宋体"/>
                <w:szCs w:val="21"/>
                <w:highlight w:val="none"/>
              </w:rPr>
            </w:pPr>
            <w:r>
              <w:rPr>
                <w:rFonts w:hint="eastAsia" w:ascii="宋体" w:hAnsi="宋体" w:cs="宋体"/>
                <w:szCs w:val="21"/>
                <w:highlight w:val="none"/>
              </w:rPr>
              <w:t>投标</w:t>
            </w:r>
            <w:r>
              <w:rPr>
                <w:rFonts w:hint="eastAsia" w:ascii="宋体" w:hAnsi="宋体"/>
                <w:szCs w:val="21"/>
                <w:highlight w:val="none"/>
              </w:rPr>
              <w:t>人自行承诺不得存在下列情形之一：</w:t>
            </w:r>
          </w:p>
          <w:p>
            <w:pPr>
              <w:pStyle w:val="7"/>
              <w:adjustRightInd w:val="0"/>
              <w:snapToGrid w:val="0"/>
              <w:spacing w:afterLines="0" w:line="400" w:lineRule="exact"/>
              <w:ind w:firstLine="420" w:firstLineChars="200"/>
              <w:rPr>
                <w:rFonts w:ascii="宋体" w:hAnsi="宋体"/>
                <w:szCs w:val="21"/>
                <w:highlight w:val="none"/>
              </w:rPr>
            </w:pPr>
            <w:r>
              <w:rPr>
                <w:rFonts w:hint="eastAsia" w:ascii="宋体" w:hAnsi="宋体"/>
                <w:szCs w:val="21"/>
                <w:highlight w:val="none"/>
              </w:rPr>
              <w:t>（1）被人民法院列入失信被执行人名单且在被执行期内；</w:t>
            </w:r>
          </w:p>
          <w:p>
            <w:pPr>
              <w:pStyle w:val="7"/>
              <w:adjustRightInd w:val="0"/>
              <w:snapToGrid w:val="0"/>
              <w:spacing w:afterLines="0" w:line="400" w:lineRule="exact"/>
              <w:ind w:firstLine="420" w:firstLineChars="200"/>
              <w:rPr>
                <w:rFonts w:ascii="宋体" w:hAnsi="宋体"/>
                <w:szCs w:val="21"/>
                <w:highlight w:val="none"/>
              </w:rPr>
            </w:pPr>
            <w:r>
              <w:rPr>
                <w:rFonts w:hint="eastAsia" w:ascii="宋体" w:hAnsi="宋体"/>
                <w:szCs w:val="21"/>
                <w:highlight w:val="none"/>
              </w:rPr>
              <w:t>（2）被国家、重庆市（含市或任意区县）有关行政部门处以暂停投标资格行政处罚，且在处罚期限内</w:t>
            </w:r>
            <w:r>
              <w:rPr>
                <w:rFonts w:hint="eastAsia" w:ascii="宋体" w:hAnsi="宋体"/>
                <w:szCs w:val="21"/>
                <w:highlight w:val="none"/>
                <w:lang w:eastAsia="zh-CN"/>
              </w:rPr>
              <w:t>。</w:t>
            </w:r>
          </w:p>
          <w:p>
            <w:pPr>
              <w:autoSpaceDE w:val="0"/>
              <w:autoSpaceDN w:val="0"/>
              <w:adjustRightInd w:val="0"/>
              <w:snapToGrid w:val="0"/>
              <w:spacing w:afterLines="0" w:line="400" w:lineRule="exact"/>
              <w:ind w:firstLine="417" w:firstLineChars="198"/>
              <w:rPr>
                <w:rFonts w:hint="eastAsia" w:ascii="宋体" w:hAnsi="宋体" w:cs="宋体"/>
                <w:b/>
                <w:szCs w:val="21"/>
                <w:highlight w:val="none"/>
              </w:rPr>
            </w:pPr>
            <w:r>
              <w:rPr>
                <w:rFonts w:hint="eastAsia" w:ascii="宋体" w:hAnsi="宋体" w:cs="宋体"/>
                <w:b/>
                <w:szCs w:val="21"/>
                <w:highlight w:val="none"/>
              </w:rPr>
              <w:t>提供：由投标人自行承诺（格式见第六章），</w:t>
            </w:r>
            <w:r>
              <w:rPr>
                <w:rFonts w:hint="eastAsia" w:cs="宋体"/>
                <w:b/>
                <w:szCs w:val="21"/>
                <w:highlight w:val="none"/>
              </w:rPr>
              <w:t>承诺函</w:t>
            </w:r>
            <w:r>
              <w:rPr>
                <w:rFonts w:hint="eastAsia" w:ascii="宋体" w:hAnsi="宋体" w:cs="宋体"/>
                <w:b/>
                <w:szCs w:val="21"/>
                <w:highlight w:val="none"/>
              </w:rPr>
              <w:t>加盖投标人</w:t>
            </w:r>
            <w:r>
              <w:rPr>
                <w:rFonts w:hint="eastAsia" w:ascii="宋体" w:hAnsi="宋体" w:cs="宋体"/>
                <w:b/>
                <w:bCs/>
                <w:szCs w:val="21"/>
                <w:highlight w:val="none"/>
              </w:rPr>
              <w:t>公章鲜章</w:t>
            </w:r>
            <w:r>
              <w:rPr>
                <w:rFonts w:hint="eastAsia" w:ascii="宋体" w:hAnsi="宋体" w:cs="宋体"/>
                <w:b/>
                <w:szCs w:val="21"/>
                <w:highlight w:val="none"/>
              </w:rPr>
              <w:t>。</w:t>
            </w:r>
          </w:p>
          <w:p>
            <w:pPr>
              <w:autoSpaceDE w:val="0"/>
              <w:autoSpaceDN w:val="0"/>
              <w:adjustRightInd w:val="0"/>
              <w:snapToGrid w:val="0"/>
              <w:spacing w:afterLines="0" w:line="400" w:lineRule="exact"/>
              <w:ind w:firstLine="417" w:firstLineChars="198"/>
              <w:rPr>
                <w:rFonts w:hint="eastAsia" w:ascii="宋体" w:hAnsi="宋体" w:cs="宋体"/>
                <w:b/>
                <w:bCs/>
                <w:szCs w:val="21"/>
                <w:highlight w:val="none"/>
              </w:rPr>
            </w:pPr>
            <w:r>
              <w:rPr>
                <w:rFonts w:hint="eastAsia" w:ascii="宋体" w:hAnsi="宋体" w:cs="宋体"/>
                <w:b/>
                <w:bCs/>
                <w:szCs w:val="21"/>
                <w:highlight w:val="none"/>
                <w:lang w:val="en-US" w:eastAsia="zh-CN"/>
              </w:rPr>
              <w:t>5</w:t>
            </w:r>
            <w:r>
              <w:rPr>
                <w:rFonts w:hint="eastAsia" w:ascii="宋体" w:hAnsi="宋体" w:cs="宋体"/>
                <w:b/>
                <w:bCs/>
                <w:szCs w:val="21"/>
                <w:highlight w:val="none"/>
              </w:rPr>
              <w:t>.其他要求</w:t>
            </w:r>
          </w:p>
          <w:p>
            <w:pPr>
              <w:pStyle w:val="7"/>
              <w:adjustRightInd w:val="0"/>
              <w:snapToGrid w:val="0"/>
              <w:spacing w:afterLines="0" w:line="400" w:lineRule="exact"/>
              <w:ind w:firstLine="420" w:firstLineChars="200"/>
              <w:rPr>
                <w:rFonts w:hint="eastAsia" w:ascii="宋体" w:hAnsi="宋体"/>
                <w:szCs w:val="21"/>
                <w:highlight w:val="none"/>
              </w:rPr>
            </w:pPr>
            <w:r>
              <w:rPr>
                <w:rFonts w:hint="eastAsia" w:ascii="宋体" w:hAnsi="宋体"/>
                <w:szCs w:val="21"/>
                <w:highlight w:val="none"/>
              </w:rPr>
              <w:t>（1）本项目拟派人员全部到岗尽责，且未经招标人允许不得擅自更换，如果擅自</w:t>
            </w:r>
            <w:r>
              <w:rPr>
                <w:rFonts w:hint="eastAsia" w:ascii="宋体" w:hAnsi="宋体"/>
                <w:szCs w:val="21"/>
                <w:highlight w:val="none"/>
                <w:lang w:eastAsia="zh-CN"/>
              </w:rPr>
              <w:t>更换</w:t>
            </w:r>
            <w:r>
              <w:rPr>
                <w:rFonts w:hint="eastAsia" w:ascii="宋体" w:hAnsi="宋体"/>
                <w:szCs w:val="21"/>
                <w:highlight w:val="none"/>
              </w:rPr>
              <w:t>，招标人有权取消其中标人资格</w:t>
            </w:r>
            <w:r>
              <w:rPr>
                <w:rFonts w:hint="eastAsia" w:ascii="宋体" w:hAnsi="宋体"/>
                <w:szCs w:val="21"/>
                <w:highlight w:val="none"/>
                <w:lang w:eastAsia="zh-CN"/>
              </w:rPr>
              <w:t>。</w:t>
            </w:r>
          </w:p>
          <w:p>
            <w:pPr>
              <w:pStyle w:val="7"/>
              <w:adjustRightInd w:val="0"/>
              <w:snapToGrid w:val="0"/>
              <w:spacing w:afterLines="0" w:line="400" w:lineRule="exact"/>
              <w:ind w:firstLine="420" w:firstLineChars="200"/>
              <w:rPr>
                <w:rFonts w:hint="eastAsia" w:ascii="宋体" w:hAnsi="宋体"/>
                <w:szCs w:val="21"/>
                <w:highlight w:val="none"/>
              </w:rPr>
            </w:pPr>
            <w:r>
              <w:rPr>
                <w:rFonts w:hint="eastAsia" w:ascii="宋体" w:hAnsi="宋体"/>
                <w:szCs w:val="21"/>
                <w:highlight w:val="none"/>
              </w:rPr>
              <w:t>（2）在合同履行期间，如未经招标人允许，擅自更换项目主要人员的，招标人有权终止合同并追究投标单位责任。</w:t>
            </w:r>
          </w:p>
          <w:p>
            <w:pPr>
              <w:autoSpaceDE w:val="0"/>
              <w:autoSpaceDN w:val="0"/>
              <w:adjustRightInd w:val="0"/>
              <w:snapToGrid w:val="0"/>
              <w:spacing w:afterLines="0" w:line="400" w:lineRule="exact"/>
              <w:ind w:firstLine="417" w:firstLineChars="198"/>
              <w:rPr>
                <w:rFonts w:hint="eastAsia" w:ascii="宋体" w:hAnsi="宋体" w:cs="宋体"/>
                <w:b/>
                <w:bCs/>
                <w:szCs w:val="21"/>
                <w:highlight w:val="none"/>
              </w:rPr>
            </w:pPr>
            <w:r>
              <w:rPr>
                <w:rFonts w:hint="eastAsia" w:ascii="宋体" w:hAnsi="宋体" w:cs="宋体"/>
                <w:b/>
                <w:szCs w:val="21"/>
                <w:highlight w:val="none"/>
              </w:rPr>
              <w:t>提供：由投标人自行承诺（格式见第六章），</w:t>
            </w:r>
            <w:r>
              <w:rPr>
                <w:rFonts w:hint="eastAsia" w:cs="宋体"/>
                <w:b/>
                <w:szCs w:val="21"/>
                <w:highlight w:val="none"/>
              </w:rPr>
              <w:t>承诺函</w:t>
            </w:r>
            <w:r>
              <w:rPr>
                <w:rFonts w:hint="eastAsia" w:ascii="宋体" w:hAnsi="宋体" w:cs="宋体"/>
                <w:b/>
                <w:szCs w:val="21"/>
                <w:highlight w:val="none"/>
              </w:rPr>
              <w:t>加盖投标人</w:t>
            </w:r>
            <w:r>
              <w:rPr>
                <w:rFonts w:hint="eastAsia" w:ascii="宋体" w:hAnsi="宋体" w:cs="宋体"/>
                <w:b/>
                <w:bCs/>
                <w:szCs w:val="21"/>
                <w:highlight w:val="none"/>
              </w:rPr>
              <w:t>公章鲜章</w:t>
            </w:r>
            <w:r>
              <w:rPr>
                <w:rFonts w:hint="eastAsia" w:ascii="宋体" w:hAnsi="宋体" w:cs="宋体"/>
                <w:b/>
                <w:szCs w:val="21"/>
                <w:highlight w:val="none"/>
              </w:rPr>
              <w:t>。</w:t>
            </w:r>
          </w:p>
          <w:p>
            <w:pPr>
              <w:autoSpaceDE w:val="0"/>
              <w:autoSpaceDN w:val="0"/>
              <w:adjustRightInd w:val="0"/>
              <w:snapToGrid w:val="0"/>
              <w:spacing w:afterLines="0" w:line="400" w:lineRule="exact"/>
              <w:ind w:firstLine="417" w:firstLineChars="198"/>
              <w:rPr>
                <w:rFonts w:hint="eastAsia" w:ascii="宋体" w:hAnsi="宋体" w:cs="宋体"/>
                <w:b/>
                <w:bCs/>
                <w:szCs w:val="21"/>
                <w:highlight w:val="none"/>
              </w:rPr>
            </w:pPr>
            <w:r>
              <w:rPr>
                <w:rFonts w:hint="eastAsia" w:ascii="宋体" w:hAnsi="宋体" w:cs="宋体"/>
                <w:b/>
                <w:bCs/>
                <w:szCs w:val="21"/>
                <w:highlight w:val="none"/>
              </w:rPr>
              <w:t>特别提示：</w:t>
            </w:r>
          </w:p>
          <w:p>
            <w:pPr>
              <w:autoSpaceDE w:val="0"/>
              <w:autoSpaceDN w:val="0"/>
              <w:adjustRightInd w:val="0"/>
              <w:snapToGrid w:val="0"/>
              <w:spacing w:afterLines="0" w:line="400" w:lineRule="exact"/>
              <w:ind w:firstLine="417" w:firstLineChars="198"/>
              <w:rPr>
                <w:rFonts w:hint="eastAsia" w:ascii="宋体" w:hAnsi="宋体" w:cs="宋体"/>
                <w:b/>
                <w:bCs/>
                <w:szCs w:val="21"/>
                <w:highlight w:val="none"/>
              </w:rPr>
            </w:pPr>
            <w:r>
              <w:rPr>
                <w:rFonts w:hint="eastAsia" w:ascii="宋体" w:hAnsi="宋体" w:cs="宋体"/>
                <w:b/>
                <w:bCs/>
                <w:szCs w:val="21"/>
                <w:highlight w:val="none"/>
              </w:rPr>
              <w:t>1.上述要求须提交的相关证明材料复印件均应加盖投标单位公章鲜章并装入投标文件中。</w:t>
            </w:r>
          </w:p>
          <w:p>
            <w:pPr>
              <w:autoSpaceDE w:val="0"/>
              <w:autoSpaceDN w:val="0"/>
              <w:adjustRightInd w:val="0"/>
              <w:snapToGrid w:val="0"/>
              <w:spacing w:afterLines="0" w:line="400" w:lineRule="exact"/>
              <w:ind w:firstLine="417" w:firstLineChars="198"/>
              <w:rPr>
                <w:rFonts w:hint="eastAsia" w:ascii="宋体" w:hAnsi="宋体" w:cs="宋体"/>
                <w:b/>
                <w:bCs/>
                <w:szCs w:val="21"/>
                <w:highlight w:val="none"/>
              </w:rPr>
            </w:pPr>
            <w:r>
              <w:rPr>
                <w:rFonts w:hint="eastAsia" w:ascii="宋体" w:hAnsi="宋体" w:cs="宋体"/>
                <w:b/>
                <w:bCs/>
                <w:szCs w:val="21"/>
                <w:highlight w:val="none"/>
              </w:rPr>
              <w:t>2.上述要求提交的相关证明材料等资料，以及招标文件第三章评标办法中要求提供的相关证明材料等资料，在评标阶段无需提供原件核验。投标人应对上述资料真实性负责，招标人在合同签订前均有权对投标人提供的资料进行核实，若发现弄虚作假，按相关法律法规报招标投标监督部门处理，取消其中标资格，其投标保证金不予退还，投标人承担因此造成的相关责任并赔偿相应损失。</w:t>
            </w:r>
          </w:p>
          <w:p>
            <w:pPr>
              <w:autoSpaceDE w:val="0"/>
              <w:autoSpaceDN w:val="0"/>
              <w:adjustRightInd w:val="0"/>
              <w:snapToGrid w:val="0"/>
              <w:spacing w:afterLines="0" w:line="400" w:lineRule="exact"/>
              <w:ind w:firstLine="417" w:firstLineChars="198"/>
              <w:rPr>
                <w:rFonts w:hint="eastAsia" w:ascii="宋体" w:hAnsi="宋体" w:cs="宋体"/>
                <w:b/>
                <w:bCs/>
                <w:szCs w:val="21"/>
                <w:highlight w:val="none"/>
              </w:rPr>
            </w:pPr>
            <w:r>
              <w:rPr>
                <w:rFonts w:hint="eastAsia" w:ascii="宋体" w:hAnsi="宋体" w:cs="宋体"/>
                <w:b/>
                <w:bCs/>
                <w:szCs w:val="21"/>
                <w:highlight w:val="none"/>
              </w:rPr>
              <w:t>3.本招标文件中所要求的人员养老保险证明要求如下：</w:t>
            </w:r>
          </w:p>
          <w:p>
            <w:pPr>
              <w:autoSpaceDE w:val="0"/>
              <w:autoSpaceDN w:val="0"/>
              <w:adjustRightInd w:val="0"/>
              <w:snapToGrid w:val="0"/>
              <w:spacing w:afterLines="0" w:line="400" w:lineRule="exact"/>
              <w:ind w:firstLine="417" w:firstLineChars="198"/>
              <w:rPr>
                <w:rFonts w:hint="eastAsia" w:ascii="宋体" w:hAnsi="宋体" w:cs="宋体"/>
                <w:b/>
                <w:bCs/>
                <w:szCs w:val="21"/>
                <w:highlight w:val="none"/>
              </w:rPr>
            </w:pPr>
            <w:r>
              <w:rPr>
                <w:rFonts w:hint="eastAsia" w:ascii="宋体" w:hAnsi="宋体" w:cs="宋体"/>
                <w:b/>
                <w:bCs/>
                <w:szCs w:val="21"/>
                <w:highlight w:val="none"/>
              </w:rPr>
              <w:t>（1）社会单位提供养老保险证明，事业单位提供养老保险证明或行政主管部门在编证明。</w:t>
            </w:r>
          </w:p>
          <w:p>
            <w:pPr>
              <w:autoSpaceDE w:val="0"/>
              <w:autoSpaceDN w:val="0"/>
              <w:adjustRightInd w:val="0"/>
              <w:snapToGrid w:val="0"/>
              <w:spacing w:afterLines="0" w:line="400" w:lineRule="exact"/>
              <w:ind w:right="147" w:rightChars="70" w:firstLine="417" w:firstLineChars="198"/>
              <w:rPr>
                <w:rFonts w:hint="eastAsia" w:ascii="宋体" w:hAnsi="宋体" w:cs="宋体"/>
                <w:b/>
                <w:bCs/>
                <w:szCs w:val="21"/>
                <w:highlight w:val="none"/>
              </w:rPr>
            </w:pPr>
            <w:r>
              <w:rPr>
                <w:rFonts w:hint="eastAsia" w:ascii="宋体" w:hAnsi="宋体" w:cs="宋体"/>
                <w:b/>
                <w:bCs/>
                <w:szCs w:val="21"/>
                <w:highlight w:val="none"/>
              </w:rPr>
              <w:t>（2）所有拟派人员提供的养老保险证明期限为202</w:t>
            </w:r>
            <w:r>
              <w:rPr>
                <w:rFonts w:hint="eastAsia" w:ascii="宋体" w:hAnsi="宋体" w:cs="宋体"/>
                <w:b/>
                <w:bCs/>
                <w:szCs w:val="21"/>
                <w:highlight w:val="none"/>
                <w:lang w:val="en-US" w:eastAsia="zh-CN"/>
              </w:rPr>
              <w:t>2</w:t>
            </w:r>
            <w:r>
              <w:rPr>
                <w:rFonts w:hint="eastAsia" w:ascii="宋体" w:hAnsi="宋体" w:cs="宋体"/>
                <w:b/>
                <w:bCs/>
                <w:szCs w:val="21"/>
                <w:highlight w:val="none"/>
              </w:rPr>
              <w:t>年1月至2022年</w:t>
            </w:r>
            <w:r>
              <w:rPr>
                <w:rFonts w:hint="eastAsia" w:ascii="宋体" w:hAnsi="宋体" w:cs="宋体"/>
                <w:b/>
                <w:bCs/>
                <w:szCs w:val="21"/>
                <w:highlight w:val="none"/>
                <w:lang w:val="en-US" w:eastAsia="zh-CN"/>
              </w:rPr>
              <w:t>6</w:t>
            </w:r>
            <w:r>
              <w:rPr>
                <w:rFonts w:hint="eastAsia" w:ascii="宋体" w:hAnsi="宋体" w:cs="宋体"/>
                <w:b/>
                <w:bCs/>
                <w:szCs w:val="21"/>
                <w:highlight w:val="none"/>
              </w:rPr>
              <w:t>月的连续养老保险。</w:t>
            </w:r>
          </w:p>
          <w:p>
            <w:pPr>
              <w:autoSpaceDE w:val="0"/>
              <w:autoSpaceDN w:val="0"/>
              <w:adjustRightInd w:val="0"/>
              <w:snapToGrid w:val="0"/>
              <w:spacing w:afterLines="0" w:line="400" w:lineRule="exact"/>
              <w:ind w:firstLine="417" w:firstLineChars="198"/>
              <w:rPr>
                <w:rFonts w:hint="eastAsia" w:ascii="宋体" w:hAnsi="宋体" w:cs="宋体"/>
                <w:szCs w:val="21"/>
                <w:highlight w:val="none"/>
              </w:rPr>
            </w:pPr>
            <w:r>
              <w:rPr>
                <w:rFonts w:hint="eastAsia" w:ascii="宋体" w:hAnsi="宋体" w:cs="宋体"/>
                <w:b/>
                <w:bCs/>
                <w:szCs w:val="21"/>
                <w:highlight w:val="none"/>
              </w:rPr>
              <w:t>（3）如因疫情影响，按当地政策可减免企业在此期间缴纳人员社保的，请附社保缴纳管理部门出具的减免情况说明复印件（或政务或权威网站公开发布的减免公告的网络截图复印件）加盖投标人单位公章鲜章。</w:t>
            </w:r>
          </w:p>
        </w:tc>
      </w:tr>
      <w:tr>
        <w:tblPrEx>
          <w:tblLayout w:type="fixed"/>
          <w:tblCellMar>
            <w:top w:w="0" w:type="dxa"/>
            <w:left w:w="0" w:type="dxa"/>
            <w:bottom w:w="0" w:type="dxa"/>
            <w:right w:w="0" w:type="dxa"/>
          </w:tblCellMar>
        </w:tblPrEx>
        <w:trPr>
          <w:jc w:val="center"/>
        </w:trPr>
        <w:tc>
          <w:tcPr>
            <w:tcW w:w="11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jc w:val="center"/>
              <w:rPr>
                <w:rFonts w:hint="eastAsia" w:ascii="宋体" w:hAnsi="宋体" w:cs="宋体"/>
                <w:kern w:val="0"/>
                <w:szCs w:val="21"/>
                <w:highlight w:val="none"/>
              </w:rPr>
            </w:pPr>
            <w:r>
              <w:rPr>
                <w:rFonts w:hint="eastAsia" w:ascii="宋体" w:hAnsi="宋体" w:cs="宋体"/>
                <w:kern w:val="0"/>
                <w:szCs w:val="21"/>
                <w:highlight w:val="none"/>
              </w:rPr>
              <w:t>1.4.2</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ind w:hanging="8"/>
              <w:jc w:val="center"/>
              <w:rPr>
                <w:rFonts w:hint="eastAsia" w:ascii="宋体" w:hAnsi="宋体" w:cs="宋体"/>
                <w:spacing w:val="-2"/>
                <w:kern w:val="0"/>
                <w:szCs w:val="21"/>
                <w:highlight w:val="none"/>
              </w:rPr>
            </w:pPr>
            <w:r>
              <w:rPr>
                <w:rFonts w:hint="eastAsia" w:ascii="宋体" w:hAnsi="宋体" w:cs="宋体"/>
                <w:kern w:val="0"/>
                <w:szCs w:val="21"/>
                <w:highlight w:val="none"/>
              </w:rPr>
              <w:t>是否</w:t>
            </w:r>
            <w:r>
              <w:rPr>
                <w:rFonts w:hint="eastAsia" w:ascii="宋体" w:hAnsi="宋体" w:cs="宋体"/>
                <w:spacing w:val="-2"/>
                <w:kern w:val="0"/>
                <w:szCs w:val="21"/>
                <w:highlight w:val="none"/>
              </w:rPr>
              <w:t>接</w:t>
            </w:r>
            <w:r>
              <w:rPr>
                <w:rFonts w:hint="eastAsia" w:ascii="宋体" w:hAnsi="宋体" w:cs="宋体"/>
                <w:kern w:val="0"/>
                <w:szCs w:val="21"/>
                <w:highlight w:val="none"/>
              </w:rPr>
              <w:t>受</w:t>
            </w:r>
            <w:r>
              <w:rPr>
                <w:rFonts w:hint="eastAsia" w:ascii="宋体" w:hAnsi="宋体" w:cs="宋体"/>
                <w:spacing w:val="-2"/>
                <w:kern w:val="0"/>
                <w:szCs w:val="21"/>
                <w:highlight w:val="none"/>
              </w:rPr>
              <w:t>联</w:t>
            </w:r>
            <w:r>
              <w:rPr>
                <w:rFonts w:hint="eastAsia" w:ascii="宋体" w:hAnsi="宋体" w:cs="宋体"/>
                <w:kern w:val="0"/>
                <w:szCs w:val="21"/>
                <w:highlight w:val="none"/>
              </w:rPr>
              <w:t>合</w:t>
            </w:r>
            <w:r>
              <w:rPr>
                <w:rFonts w:hint="eastAsia" w:ascii="宋体" w:hAnsi="宋体" w:cs="宋体"/>
                <w:spacing w:val="-2"/>
                <w:kern w:val="0"/>
                <w:szCs w:val="21"/>
                <w:highlight w:val="none"/>
              </w:rPr>
              <w:t>体</w:t>
            </w:r>
          </w:p>
          <w:p>
            <w:pPr>
              <w:autoSpaceDE w:val="0"/>
              <w:autoSpaceDN w:val="0"/>
              <w:adjustRightInd w:val="0"/>
              <w:snapToGrid w:val="0"/>
              <w:spacing w:afterLines="0" w:line="400" w:lineRule="exact"/>
              <w:ind w:hanging="8"/>
              <w:jc w:val="center"/>
              <w:rPr>
                <w:rFonts w:hint="eastAsia" w:ascii="宋体" w:hAnsi="宋体" w:cs="宋体"/>
                <w:kern w:val="0"/>
                <w:szCs w:val="21"/>
                <w:highlight w:val="none"/>
              </w:rPr>
            </w:pPr>
            <w:r>
              <w:rPr>
                <w:rFonts w:hint="eastAsia" w:ascii="宋体" w:hAnsi="宋体" w:cs="宋体"/>
                <w:kern w:val="0"/>
                <w:szCs w:val="21"/>
                <w:highlight w:val="none"/>
              </w:rPr>
              <w:t>投标</w:t>
            </w:r>
          </w:p>
        </w:tc>
        <w:tc>
          <w:tcPr>
            <w:tcW w:w="645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ind w:firstLine="420" w:firstLineChars="200"/>
              <w:rPr>
                <w:rFonts w:hint="eastAsia" w:ascii="宋体" w:hAnsi="宋体" w:cs="宋体"/>
                <w:szCs w:val="21"/>
                <w:highlight w:val="none"/>
              </w:rPr>
            </w:pPr>
            <w:r>
              <w:rPr>
                <w:rFonts w:hint="eastAsia" w:ascii="宋体" w:hAnsi="宋体" w:cs="宋体"/>
                <w:szCs w:val="21"/>
                <w:highlight w:val="none"/>
              </w:rPr>
              <w:t>不接受</w:t>
            </w:r>
          </w:p>
        </w:tc>
      </w:tr>
      <w:tr>
        <w:tblPrEx>
          <w:tblLayout w:type="fixed"/>
          <w:tblCellMar>
            <w:top w:w="0" w:type="dxa"/>
            <w:left w:w="0" w:type="dxa"/>
            <w:bottom w:w="0" w:type="dxa"/>
            <w:right w:w="0" w:type="dxa"/>
          </w:tblCellMar>
        </w:tblPrEx>
        <w:trPr>
          <w:jc w:val="center"/>
        </w:trPr>
        <w:tc>
          <w:tcPr>
            <w:tcW w:w="11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jc w:val="center"/>
              <w:rPr>
                <w:rFonts w:hint="eastAsia" w:ascii="宋体" w:hAnsi="宋体" w:cs="宋体"/>
                <w:kern w:val="0"/>
                <w:szCs w:val="21"/>
                <w:highlight w:val="none"/>
              </w:rPr>
            </w:pPr>
            <w:r>
              <w:rPr>
                <w:rFonts w:hint="eastAsia" w:ascii="宋体" w:hAnsi="宋体" w:cs="宋体"/>
                <w:kern w:val="0"/>
                <w:szCs w:val="21"/>
                <w:highlight w:val="none"/>
              </w:rPr>
              <w:t>1.4.3</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ind w:hanging="8"/>
              <w:jc w:val="center"/>
              <w:rPr>
                <w:rFonts w:hint="eastAsia" w:ascii="宋体" w:hAnsi="宋体" w:cs="宋体"/>
                <w:kern w:val="0"/>
                <w:szCs w:val="21"/>
                <w:highlight w:val="none"/>
              </w:rPr>
            </w:pPr>
            <w:r>
              <w:rPr>
                <w:rFonts w:hint="eastAsia" w:ascii="宋体" w:hAnsi="宋体" w:cs="宋体"/>
                <w:kern w:val="0"/>
                <w:szCs w:val="21"/>
                <w:highlight w:val="none"/>
              </w:rPr>
              <w:t>投</w:t>
            </w:r>
            <w:r>
              <w:rPr>
                <w:rFonts w:hint="eastAsia" w:ascii="宋体" w:hAnsi="宋体" w:cs="宋体"/>
                <w:spacing w:val="-2"/>
                <w:kern w:val="0"/>
                <w:szCs w:val="21"/>
                <w:highlight w:val="none"/>
              </w:rPr>
              <w:t>标</w:t>
            </w:r>
            <w:r>
              <w:rPr>
                <w:rFonts w:hint="eastAsia" w:ascii="宋体" w:hAnsi="宋体" w:cs="宋体"/>
                <w:kern w:val="0"/>
                <w:szCs w:val="21"/>
                <w:highlight w:val="none"/>
              </w:rPr>
              <w:t>人</w:t>
            </w:r>
            <w:r>
              <w:rPr>
                <w:rFonts w:hint="eastAsia" w:ascii="宋体" w:hAnsi="宋体" w:cs="宋体"/>
                <w:spacing w:val="-2"/>
                <w:kern w:val="0"/>
                <w:szCs w:val="21"/>
                <w:highlight w:val="none"/>
              </w:rPr>
              <w:t>不</w:t>
            </w:r>
            <w:r>
              <w:rPr>
                <w:rFonts w:hint="eastAsia" w:ascii="宋体" w:hAnsi="宋体" w:cs="宋体"/>
                <w:kern w:val="0"/>
                <w:szCs w:val="21"/>
                <w:highlight w:val="none"/>
              </w:rPr>
              <w:t>得</w:t>
            </w:r>
            <w:r>
              <w:rPr>
                <w:rFonts w:hint="eastAsia" w:ascii="宋体" w:hAnsi="宋体" w:cs="宋体"/>
                <w:spacing w:val="-2"/>
                <w:kern w:val="0"/>
                <w:szCs w:val="21"/>
                <w:highlight w:val="none"/>
              </w:rPr>
              <w:t>存</w:t>
            </w:r>
            <w:r>
              <w:rPr>
                <w:rFonts w:hint="eastAsia" w:ascii="宋体" w:hAnsi="宋体" w:cs="宋体"/>
                <w:kern w:val="0"/>
                <w:szCs w:val="21"/>
                <w:highlight w:val="none"/>
              </w:rPr>
              <w:t>在</w:t>
            </w:r>
          </w:p>
          <w:p>
            <w:pPr>
              <w:autoSpaceDE w:val="0"/>
              <w:autoSpaceDN w:val="0"/>
              <w:adjustRightInd w:val="0"/>
              <w:snapToGrid w:val="0"/>
              <w:spacing w:afterLines="0" w:line="400" w:lineRule="exact"/>
              <w:ind w:hanging="8"/>
              <w:jc w:val="center"/>
              <w:rPr>
                <w:rFonts w:hint="eastAsia" w:ascii="宋体" w:hAnsi="宋体" w:cs="宋体"/>
                <w:kern w:val="0"/>
                <w:szCs w:val="21"/>
                <w:highlight w:val="none"/>
              </w:rPr>
            </w:pPr>
            <w:r>
              <w:rPr>
                <w:rFonts w:hint="eastAsia" w:ascii="宋体" w:hAnsi="宋体" w:cs="宋体"/>
                <w:spacing w:val="-2"/>
                <w:kern w:val="0"/>
                <w:szCs w:val="21"/>
                <w:highlight w:val="none"/>
              </w:rPr>
              <w:t>下列</w:t>
            </w:r>
            <w:r>
              <w:rPr>
                <w:rFonts w:hint="eastAsia" w:ascii="宋体" w:hAnsi="宋体" w:cs="宋体"/>
                <w:kern w:val="0"/>
                <w:szCs w:val="21"/>
                <w:highlight w:val="none"/>
              </w:rPr>
              <w:t>情形</w:t>
            </w:r>
            <w:r>
              <w:rPr>
                <w:rFonts w:hint="eastAsia" w:ascii="宋体" w:hAnsi="宋体" w:cs="宋体"/>
                <w:spacing w:val="-2"/>
                <w:kern w:val="0"/>
                <w:szCs w:val="21"/>
                <w:highlight w:val="none"/>
              </w:rPr>
              <w:t>之</w:t>
            </w:r>
            <w:r>
              <w:rPr>
                <w:rFonts w:hint="eastAsia" w:ascii="宋体" w:hAnsi="宋体" w:cs="宋体"/>
                <w:kern w:val="0"/>
                <w:szCs w:val="21"/>
                <w:highlight w:val="none"/>
              </w:rPr>
              <w:t>一</w:t>
            </w:r>
          </w:p>
        </w:tc>
        <w:tc>
          <w:tcPr>
            <w:tcW w:w="645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（1）与招标人存在利害关系可能影响招标公正性的法人、其他组织或者个人，不得参加投标；</w:t>
            </w:r>
          </w:p>
          <w:p>
            <w:pPr>
              <w:autoSpaceDE w:val="0"/>
              <w:autoSpaceDN w:val="0"/>
              <w:adjustRightInd w:val="0"/>
              <w:snapToGrid w:val="0"/>
              <w:spacing w:afterLines="0"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（2）与本招标项目的其他投标人为同一个单位负责人；</w:t>
            </w:r>
          </w:p>
          <w:p>
            <w:pPr>
              <w:autoSpaceDE w:val="0"/>
              <w:autoSpaceDN w:val="0"/>
              <w:adjustRightInd w:val="0"/>
              <w:snapToGrid w:val="0"/>
              <w:spacing w:afterLines="0"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（3）与本招标项目的其他投标人存在控股、管理关系；</w:t>
            </w:r>
          </w:p>
          <w:p>
            <w:pPr>
              <w:autoSpaceDE w:val="0"/>
              <w:autoSpaceDN w:val="0"/>
              <w:adjustRightInd w:val="0"/>
              <w:snapToGrid w:val="0"/>
              <w:spacing w:afterLines="0"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（4）为本招标项目的代建人；</w:t>
            </w:r>
          </w:p>
          <w:p>
            <w:pPr>
              <w:autoSpaceDE w:val="0"/>
              <w:autoSpaceDN w:val="0"/>
              <w:adjustRightInd w:val="0"/>
              <w:snapToGrid w:val="0"/>
              <w:spacing w:afterLines="0"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（5）为本招标项目的招标代理机构；</w:t>
            </w:r>
          </w:p>
          <w:p>
            <w:pPr>
              <w:autoSpaceDE w:val="0"/>
              <w:autoSpaceDN w:val="0"/>
              <w:adjustRightInd w:val="0"/>
              <w:snapToGrid w:val="0"/>
              <w:spacing w:afterLines="0"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（6）与本招标项目的代建人或招标代理机构同为一个法定代表人；</w:t>
            </w:r>
          </w:p>
          <w:p>
            <w:pPr>
              <w:autoSpaceDE w:val="0"/>
              <w:autoSpaceDN w:val="0"/>
              <w:adjustRightInd w:val="0"/>
              <w:snapToGrid w:val="0"/>
              <w:spacing w:afterLines="0"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（7）与本招标项目的代建人或招标代理机构存在控股或参股关系；</w:t>
            </w:r>
          </w:p>
          <w:p>
            <w:pPr>
              <w:autoSpaceDE w:val="0"/>
              <w:autoSpaceDN w:val="0"/>
              <w:adjustRightInd w:val="0"/>
              <w:snapToGrid w:val="0"/>
              <w:spacing w:afterLines="0"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（8）被依法暂停或者取消投标资格；</w:t>
            </w:r>
          </w:p>
          <w:p>
            <w:pPr>
              <w:autoSpaceDE w:val="0"/>
              <w:autoSpaceDN w:val="0"/>
              <w:adjustRightInd w:val="0"/>
              <w:snapToGrid w:val="0"/>
              <w:spacing w:afterLines="0"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（9）被责令停产停业、暂扣或者吊销许可证、暂扣或者吊销执照；</w:t>
            </w:r>
          </w:p>
          <w:p>
            <w:pPr>
              <w:autoSpaceDE w:val="0"/>
              <w:autoSpaceDN w:val="0"/>
              <w:adjustRightInd w:val="0"/>
              <w:snapToGrid w:val="0"/>
              <w:spacing w:afterLines="0"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（10）进入清算程序，或被宣告破产，或其他丧失履约能力的情形；</w:t>
            </w:r>
          </w:p>
          <w:p>
            <w:pPr>
              <w:autoSpaceDE w:val="0"/>
              <w:autoSpaceDN w:val="0"/>
              <w:adjustRightInd w:val="0"/>
              <w:snapToGrid w:val="0"/>
              <w:spacing w:afterLines="0"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（11）被工商行政管理机关在全国企业信用信息公示系统中列入严重违法失信企业名单；</w:t>
            </w:r>
          </w:p>
          <w:p>
            <w:pPr>
              <w:autoSpaceDE w:val="0"/>
              <w:autoSpaceDN w:val="0"/>
              <w:adjustRightInd w:val="0"/>
              <w:snapToGrid w:val="0"/>
              <w:spacing w:afterLines="0"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（12）</w:t>
            </w:r>
            <w:r>
              <w:rPr>
                <w:rFonts w:hint="eastAsia" w:ascii="宋体" w:hAnsi="宋体" w:cs="宋体"/>
                <w:szCs w:val="21"/>
                <w:highlight w:val="none"/>
              </w:rPr>
              <w:t>法定代表人为同一个人的两个及两个以上法人，母公司、全资子公司及其控股公司，以及其他形式有资产关联关系的投标人，都不得在同一招标项目中同时投标。</w:t>
            </w:r>
          </w:p>
        </w:tc>
      </w:tr>
      <w:tr>
        <w:tblPrEx>
          <w:tblLayout w:type="fixed"/>
          <w:tblCellMar>
            <w:top w:w="0" w:type="dxa"/>
            <w:left w:w="0" w:type="dxa"/>
            <w:bottom w:w="0" w:type="dxa"/>
            <w:right w:w="0" w:type="dxa"/>
          </w:tblCellMar>
        </w:tblPrEx>
        <w:trPr>
          <w:jc w:val="center"/>
        </w:trPr>
        <w:tc>
          <w:tcPr>
            <w:tcW w:w="11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jc w:val="center"/>
              <w:rPr>
                <w:rFonts w:hint="eastAsia" w:ascii="宋体" w:hAnsi="宋体" w:cs="宋体"/>
                <w:kern w:val="0"/>
                <w:szCs w:val="21"/>
                <w:highlight w:val="none"/>
              </w:rPr>
            </w:pPr>
            <w:r>
              <w:rPr>
                <w:rFonts w:hint="eastAsia" w:ascii="宋体" w:hAnsi="宋体" w:cs="宋体"/>
                <w:kern w:val="0"/>
                <w:szCs w:val="21"/>
                <w:highlight w:val="none"/>
              </w:rPr>
              <w:t>1.9.1</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ind w:hanging="8"/>
              <w:jc w:val="center"/>
              <w:rPr>
                <w:rFonts w:hint="eastAsia" w:ascii="宋体" w:hAnsi="宋体" w:cs="宋体"/>
                <w:kern w:val="0"/>
                <w:szCs w:val="21"/>
                <w:highlight w:val="none"/>
              </w:rPr>
            </w:pPr>
            <w:r>
              <w:rPr>
                <w:rFonts w:hint="eastAsia" w:ascii="宋体" w:hAnsi="宋体" w:cs="宋体"/>
                <w:kern w:val="0"/>
                <w:szCs w:val="21"/>
                <w:highlight w:val="none"/>
              </w:rPr>
              <w:t>踏勘</w:t>
            </w:r>
            <w:r>
              <w:rPr>
                <w:rFonts w:hint="eastAsia" w:ascii="宋体" w:hAnsi="宋体" w:cs="宋体"/>
                <w:spacing w:val="-2"/>
                <w:kern w:val="0"/>
                <w:szCs w:val="21"/>
                <w:highlight w:val="none"/>
              </w:rPr>
              <w:t>现</w:t>
            </w:r>
            <w:r>
              <w:rPr>
                <w:rFonts w:hint="eastAsia" w:ascii="宋体" w:hAnsi="宋体" w:cs="宋体"/>
                <w:kern w:val="0"/>
                <w:szCs w:val="21"/>
                <w:highlight w:val="none"/>
              </w:rPr>
              <w:t>场</w:t>
            </w:r>
          </w:p>
        </w:tc>
        <w:tc>
          <w:tcPr>
            <w:tcW w:w="645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不组织</w:t>
            </w:r>
          </w:p>
        </w:tc>
      </w:tr>
      <w:tr>
        <w:tblPrEx>
          <w:tblLayout w:type="fixed"/>
          <w:tblCellMar>
            <w:top w:w="0" w:type="dxa"/>
            <w:left w:w="0" w:type="dxa"/>
            <w:bottom w:w="0" w:type="dxa"/>
            <w:right w:w="0" w:type="dxa"/>
          </w:tblCellMar>
        </w:tblPrEx>
        <w:trPr>
          <w:jc w:val="center"/>
        </w:trPr>
        <w:tc>
          <w:tcPr>
            <w:tcW w:w="11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jc w:val="center"/>
              <w:rPr>
                <w:rFonts w:hint="eastAsia" w:ascii="宋体" w:hAnsi="宋体" w:cs="宋体"/>
                <w:kern w:val="0"/>
                <w:szCs w:val="21"/>
                <w:highlight w:val="none"/>
              </w:rPr>
            </w:pPr>
            <w:r>
              <w:rPr>
                <w:rFonts w:hint="eastAsia" w:ascii="宋体" w:hAnsi="宋体" w:cs="宋体"/>
                <w:kern w:val="0"/>
                <w:szCs w:val="21"/>
                <w:highlight w:val="none"/>
              </w:rPr>
              <w:t>1.10.1</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ind w:hanging="8"/>
              <w:jc w:val="center"/>
              <w:rPr>
                <w:rFonts w:hint="eastAsia" w:ascii="宋体" w:hAnsi="宋体" w:cs="宋体"/>
                <w:kern w:val="0"/>
                <w:szCs w:val="21"/>
                <w:highlight w:val="none"/>
              </w:rPr>
            </w:pPr>
            <w:r>
              <w:rPr>
                <w:rFonts w:hint="eastAsia" w:ascii="宋体" w:hAnsi="宋体" w:cs="宋体"/>
                <w:kern w:val="0"/>
                <w:szCs w:val="21"/>
                <w:highlight w:val="none"/>
              </w:rPr>
              <w:t>投标</w:t>
            </w:r>
            <w:r>
              <w:rPr>
                <w:rFonts w:hint="eastAsia" w:ascii="宋体" w:hAnsi="宋体" w:cs="宋体"/>
                <w:spacing w:val="-2"/>
                <w:kern w:val="0"/>
                <w:szCs w:val="21"/>
                <w:highlight w:val="none"/>
              </w:rPr>
              <w:t>预</w:t>
            </w:r>
            <w:r>
              <w:rPr>
                <w:rFonts w:hint="eastAsia" w:ascii="宋体" w:hAnsi="宋体" w:cs="宋体"/>
                <w:kern w:val="0"/>
                <w:szCs w:val="21"/>
                <w:highlight w:val="none"/>
              </w:rPr>
              <w:t>备会</w:t>
            </w:r>
          </w:p>
        </w:tc>
        <w:tc>
          <w:tcPr>
            <w:tcW w:w="645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不召开</w:t>
            </w:r>
          </w:p>
        </w:tc>
      </w:tr>
      <w:tr>
        <w:tblPrEx>
          <w:tblLayout w:type="fixed"/>
          <w:tblCellMar>
            <w:top w:w="0" w:type="dxa"/>
            <w:left w:w="0" w:type="dxa"/>
            <w:bottom w:w="0" w:type="dxa"/>
            <w:right w:w="0" w:type="dxa"/>
          </w:tblCellMar>
        </w:tblPrEx>
        <w:trPr>
          <w:jc w:val="center"/>
        </w:trPr>
        <w:tc>
          <w:tcPr>
            <w:tcW w:w="11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jc w:val="center"/>
              <w:rPr>
                <w:rFonts w:hint="eastAsia" w:ascii="宋体" w:hAnsi="宋体" w:cs="宋体"/>
                <w:kern w:val="0"/>
                <w:szCs w:val="21"/>
                <w:highlight w:val="none"/>
              </w:rPr>
            </w:pPr>
            <w:r>
              <w:rPr>
                <w:rFonts w:hint="eastAsia" w:ascii="宋体" w:hAnsi="宋体" w:cs="宋体"/>
                <w:kern w:val="0"/>
                <w:szCs w:val="21"/>
                <w:highlight w:val="none"/>
              </w:rPr>
              <w:t>1.</w:t>
            </w:r>
            <w:r>
              <w:rPr>
                <w:rFonts w:hint="eastAsia" w:ascii="宋体" w:hAnsi="宋体" w:cs="宋体"/>
                <w:spacing w:val="-7"/>
                <w:kern w:val="0"/>
                <w:szCs w:val="21"/>
                <w:highlight w:val="none"/>
              </w:rPr>
              <w:t>1</w:t>
            </w:r>
            <w:r>
              <w:rPr>
                <w:rFonts w:hint="eastAsia" w:ascii="宋体" w:hAnsi="宋体" w:cs="宋体"/>
                <w:kern w:val="0"/>
                <w:szCs w:val="21"/>
                <w:highlight w:val="none"/>
              </w:rPr>
              <w:t>1.1</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ind w:hanging="8"/>
              <w:jc w:val="center"/>
              <w:rPr>
                <w:rFonts w:hint="eastAsia" w:ascii="宋体" w:hAnsi="宋体" w:cs="宋体"/>
                <w:kern w:val="0"/>
                <w:szCs w:val="21"/>
                <w:highlight w:val="none"/>
              </w:rPr>
            </w:pPr>
            <w:r>
              <w:rPr>
                <w:rFonts w:hint="eastAsia" w:ascii="宋体" w:hAnsi="宋体" w:cs="宋体"/>
                <w:kern w:val="0"/>
                <w:szCs w:val="21"/>
                <w:highlight w:val="none"/>
              </w:rPr>
              <w:t>分包</w:t>
            </w:r>
          </w:p>
        </w:tc>
        <w:tc>
          <w:tcPr>
            <w:tcW w:w="645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不允许</w:t>
            </w:r>
          </w:p>
        </w:tc>
      </w:tr>
      <w:tr>
        <w:tblPrEx>
          <w:tblLayout w:type="fixed"/>
          <w:tblCellMar>
            <w:top w:w="0" w:type="dxa"/>
            <w:left w:w="0" w:type="dxa"/>
            <w:bottom w:w="0" w:type="dxa"/>
            <w:right w:w="0" w:type="dxa"/>
          </w:tblCellMar>
        </w:tblPrEx>
        <w:trPr>
          <w:jc w:val="center"/>
        </w:trPr>
        <w:tc>
          <w:tcPr>
            <w:tcW w:w="11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jc w:val="center"/>
              <w:rPr>
                <w:rFonts w:hint="eastAsia" w:ascii="宋体" w:hAnsi="宋体" w:cs="宋体"/>
                <w:kern w:val="0"/>
                <w:szCs w:val="21"/>
                <w:highlight w:val="none"/>
              </w:rPr>
            </w:pPr>
            <w:r>
              <w:rPr>
                <w:rFonts w:hint="eastAsia" w:ascii="宋体" w:hAnsi="宋体" w:cs="宋体"/>
                <w:kern w:val="0"/>
                <w:szCs w:val="21"/>
                <w:highlight w:val="none"/>
              </w:rPr>
              <w:t>1.12.1</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ind w:hanging="8"/>
              <w:jc w:val="center"/>
              <w:rPr>
                <w:rFonts w:hint="eastAsia" w:ascii="宋体" w:hAnsi="宋体" w:cs="宋体"/>
                <w:kern w:val="0"/>
                <w:szCs w:val="21"/>
                <w:highlight w:val="none"/>
              </w:rPr>
            </w:pPr>
            <w:r>
              <w:rPr>
                <w:rFonts w:hint="eastAsia" w:ascii="宋体" w:hAnsi="宋体" w:cs="宋体"/>
                <w:kern w:val="0"/>
                <w:szCs w:val="21"/>
                <w:highlight w:val="none"/>
              </w:rPr>
              <w:t>实质</w:t>
            </w:r>
            <w:r>
              <w:rPr>
                <w:rFonts w:hint="eastAsia" w:ascii="宋体" w:hAnsi="宋体" w:cs="宋体"/>
                <w:spacing w:val="-2"/>
                <w:kern w:val="0"/>
                <w:szCs w:val="21"/>
                <w:highlight w:val="none"/>
              </w:rPr>
              <w:t>性</w:t>
            </w:r>
            <w:r>
              <w:rPr>
                <w:rFonts w:hint="eastAsia" w:ascii="宋体" w:hAnsi="宋体" w:cs="宋体"/>
                <w:kern w:val="0"/>
                <w:szCs w:val="21"/>
                <w:highlight w:val="none"/>
              </w:rPr>
              <w:t>要</w:t>
            </w:r>
            <w:r>
              <w:rPr>
                <w:rFonts w:hint="eastAsia" w:ascii="宋体" w:hAnsi="宋体" w:cs="宋体"/>
                <w:spacing w:val="-2"/>
                <w:kern w:val="0"/>
                <w:szCs w:val="21"/>
                <w:highlight w:val="none"/>
              </w:rPr>
              <w:t>求</w:t>
            </w:r>
            <w:r>
              <w:rPr>
                <w:rFonts w:hint="eastAsia" w:ascii="宋体" w:hAnsi="宋体" w:cs="宋体"/>
                <w:kern w:val="0"/>
                <w:szCs w:val="21"/>
                <w:highlight w:val="none"/>
              </w:rPr>
              <w:t>和</w:t>
            </w:r>
            <w:r>
              <w:rPr>
                <w:rFonts w:hint="eastAsia" w:ascii="宋体" w:hAnsi="宋体" w:cs="宋体"/>
                <w:spacing w:val="-2"/>
                <w:kern w:val="0"/>
                <w:szCs w:val="21"/>
                <w:highlight w:val="none"/>
              </w:rPr>
              <w:t>条</w:t>
            </w:r>
            <w:r>
              <w:rPr>
                <w:rFonts w:hint="eastAsia" w:ascii="宋体" w:hAnsi="宋体" w:cs="宋体"/>
                <w:kern w:val="0"/>
                <w:szCs w:val="21"/>
                <w:highlight w:val="none"/>
              </w:rPr>
              <w:t>件</w:t>
            </w:r>
          </w:p>
        </w:tc>
        <w:tc>
          <w:tcPr>
            <w:tcW w:w="645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w:t>
            </w:r>
          </w:p>
        </w:tc>
      </w:tr>
      <w:tr>
        <w:tblPrEx>
          <w:tblLayout w:type="fixed"/>
          <w:tblCellMar>
            <w:top w:w="0" w:type="dxa"/>
            <w:left w:w="0" w:type="dxa"/>
            <w:bottom w:w="0" w:type="dxa"/>
            <w:right w:w="0" w:type="dxa"/>
          </w:tblCellMar>
        </w:tblPrEx>
        <w:trPr>
          <w:jc w:val="center"/>
        </w:trPr>
        <w:tc>
          <w:tcPr>
            <w:tcW w:w="11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jc w:val="center"/>
              <w:rPr>
                <w:rFonts w:hint="eastAsia" w:ascii="宋体" w:hAnsi="宋体" w:cs="宋体"/>
                <w:kern w:val="0"/>
                <w:szCs w:val="21"/>
                <w:highlight w:val="none"/>
              </w:rPr>
            </w:pPr>
            <w:r>
              <w:rPr>
                <w:rFonts w:hint="eastAsia" w:ascii="宋体" w:hAnsi="宋体" w:cs="宋体"/>
                <w:kern w:val="0"/>
                <w:szCs w:val="21"/>
                <w:highlight w:val="none"/>
              </w:rPr>
              <w:t>1.12.3</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ind w:hanging="8"/>
              <w:jc w:val="center"/>
              <w:rPr>
                <w:rFonts w:hint="eastAsia" w:ascii="宋体" w:hAnsi="宋体" w:cs="宋体"/>
                <w:kern w:val="0"/>
                <w:szCs w:val="21"/>
                <w:highlight w:val="none"/>
              </w:rPr>
            </w:pPr>
            <w:r>
              <w:rPr>
                <w:rFonts w:hint="eastAsia" w:ascii="宋体" w:hAnsi="宋体" w:cs="宋体"/>
                <w:kern w:val="0"/>
                <w:szCs w:val="21"/>
                <w:highlight w:val="none"/>
              </w:rPr>
              <w:t>偏差</w:t>
            </w:r>
          </w:p>
        </w:tc>
        <w:tc>
          <w:tcPr>
            <w:tcW w:w="645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w:t>
            </w:r>
          </w:p>
        </w:tc>
      </w:tr>
      <w:tr>
        <w:tblPrEx>
          <w:tblLayout w:type="fixed"/>
          <w:tblCellMar>
            <w:top w:w="0" w:type="dxa"/>
            <w:left w:w="0" w:type="dxa"/>
            <w:bottom w:w="0" w:type="dxa"/>
            <w:right w:w="0" w:type="dxa"/>
          </w:tblCellMar>
        </w:tblPrEx>
        <w:trPr>
          <w:jc w:val="center"/>
        </w:trPr>
        <w:tc>
          <w:tcPr>
            <w:tcW w:w="11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jc w:val="center"/>
              <w:rPr>
                <w:rFonts w:hint="eastAsia" w:ascii="宋体" w:hAnsi="宋体" w:cs="宋体"/>
                <w:kern w:val="0"/>
                <w:szCs w:val="21"/>
                <w:highlight w:val="none"/>
              </w:rPr>
            </w:pPr>
            <w:r>
              <w:rPr>
                <w:rFonts w:hint="eastAsia" w:ascii="宋体" w:hAnsi="宋体" w:cs="宋体"/>
                <w:kern w:val="0"/>
                <w:szCs w:val="21"/>
                <w:highlight w:val="none"/>
              </w:rPr>
              <w:t>2.1</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ind w:hanging="8"/>
              <w:jc w:val="center"/>
              <w:rPr>
                <w:rFonts w:hint="eastAsia" w:ascii="宋体" w:hAnsi="宋体" w:cs="宋体"/>
                <w:kern w:val="0"/>
                <w:szCs w:val="21"/>
                <w:highlight w:val="none"/>
              </w:rPr>
            </w:pPr>
            <w:r>
              <w:rPr>
                <w:rFonts w:hint="eastAsia" w:ascii="宋体" w:hAnsi="宋体" w:cs="宋体"/>
                <w:kern w:val="0"/>
                <w:szCs w:val="21"/>
                <w:highlight w:val="none"/>
              </w:rPr>
              <w:t>构成</w:t>
            </w:r>
            <w:r>
              <w:rPr>
                <w:rFonts w:hint="eastAsia" w:ascii="宋体" w:hAnsi="宋体" w:cs="宋体"/>
                <w:spacing w:val="-2"/>
                <w:kern w:val="0"/>
                <w:szCs w:val="21"/>
                <w:highlight w:val="none"/>
              </w:rPr>
              <w:t>招</w:t>
            </w:r>
            <w:r>
              <w:rPr>
                <w:rFonts w:hint="eastAsia" w:ascii="宋体" w:hAnsi="宋体" w:cs="宋体"/>
                <w:kern w:val="0"/>
                <w:szCs w:val="21"/>
                <w:highlight w:val="none"/>
              </w:rPr>
              <w:t>标</w:t>
            </w:r>
            <w:r>
              <w:rPr>
                <w:rFonts w:hint="eastAsia" w:ascii="宋体" w:hAnsi="宋体" w:cs="宋体"/>
                <w:spacing w:val="-2"/>
                <w:kern w:val="0"/>
                <w:szCs w:val="21"/>
                <w:highlight w:val="none"/>
              </w:rPr>
              <w:t>文</w:t>
            </w:r>
            <w:r>
              <w:rPr>
                <w:rFonts w:hint="eastAsia" w:ascii="宋体" w:hAnsi="宋体" w:cs="宋体"/>
                <w:kern w:val="0"/>
                <w:szCs w:val="21"/>
                <w:highlight w:val="none"/>
              </w:rPr>
              <w:t>件</w:t>
            </w:r>
            <w:r>
              <w:rPr>
                <w:rFonts w:hint="eastAsia" w:ascii="宋体" w:hAnsi="宋体" w:cs="宋体"/>
                <w:spacing w:val="-2"/>
                <w:kern w:val="0"/>
                <w:szCs w:val="21"/>
                <w:highlight w:val="none"/>
              </w:rPr>
              <w:t>的</w:t>
            </w:r>
            <w:r>
              <w:rPr>
                <w:rFonts w:hint="eastAsia" w:ascii="宋体" w:hAnsi="宋体" w:cs="宋体"/>
                <w:kern w:val="0"/>
                <w:szCs w:val="21"/>
                <w:highlight w:val="none"/>
              </w:rPr>
              <w:t>其</w:t>
            </w:r>
            <w:r>
              <w:rPr>
                <w:rFonts w:hint="eastAsia" w:ascii="宋体" w:hAnsi="宋体" w:cs="宋体"/>
                <w:spacing w:val="-2"/>
                <w:kern w:val="0"/>
                <w:szCs w:val="21"/>
                <w:highlight w:val="none"/>
              </w:rPr>
              <w:t>他</w:t>
            </w:r>
            <w:r>
              <w:rPr>
                <w:rFonts w:hint="eastAsia" w:ascii="宋体" w:hAnsi="宋体" w:cs="宋体"/>
                <w:kern w:val="0"/>
                <w:szCs w:val="21"/>
                <w:highlight w:val="none"/>
              </w:rPr>
              <w:t>资料</w:t>
            </w:r>
          </w:p>
        </w:tc>
        <w:tc>
          <w:tcPr>
            <w:tcW w:w="645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ind w:firstLine="420" w:firstLineChars="200"/>
              <w:rPr>
                <w:rFonts w:hint="eastAsia" w:ascii="宋体" w:hAnsi="宋体" w:cs="宋体"/>
                <w:kern w:val="0"/>
                <w:szCs w:val="21"/>
                <w:highlight w:val="none"/>
              </w:rPr>
            </w:pPr>
            <w:r>
              <w:rPr>
                <w:rFonts w:hint="eastAsia" w:hAnsi="宋体"/>
                <w:bCs/>
                <w:szCs w:val="21"/>
                <w:highlight w:val="none"/>
              </w:rPr>
              <w:t>招标人发出的澄清及修改</w:t>
            </w:r>
          </w:p>
        </w:tc>
      </w:tr>
      <w:tr>
        <w:tblPrEx>
          <w:tblLayout w:type="fixed"/>
          <w:tblCellMar>
            <w:top w:w="0" w:type="dxa"/>
            <w:left w:w="0" w:type="dxa"/>
            <w:bottom w:w="0" w:type="dxa"/>
            <w:right w:w="0" w:type="dxa"/>
          </w:tblCellMar>
        </w:tblPrEx>
        <w:trPr>
          <w:trHeight w:val="1595" w:hRule="atLeast"/>
          <w:jc w:val="center"/>
        </w:trPr>
        <w:tc>
          <w:tcPr>
            <w:tcW w:w="11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jc w:val="center"/>
              <w:rPr>
                <w:rFonts w:hint="eastAsia" w:ascii="宋体" w:hAnsi="宋体" w:cs="宋体"/>
                <w:kern w:val="0"/>
                <w:szCs w:val="21"/>
                <w:highlight w:val="none"/>
              </w:rPr>
            </w:pPr>
            <w:r>
              <w:rPr>
                <w:rFonts w:hint="eastAsia" w:ascii="宋体" w:hAnsi="宋体" w:cs="宋体"/>
                <w:kern w:val="0"/>
                <w:szCs w:val="21"/>
                <w:highlight w:val="none"/>
              </w:rPr>
              <w:t>2.2.1</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ind w:hanging="8"/>
              <w:jc w:val="center"/>
              <w:rPr>
                <w:rFonts w:ascii="宋体" w:hAnsi="宋体"/>
                <w:kern w:val="0"/>
                <w:szCs w:val="21"/>
                <w:highlight w:val="none"/>
              </w:rPr>
            </w:pPr>
            <w:r>
              <w:rPr>
                <w:rFonts w:ascii="宋体" w:hAnsi="宋体"/>
                <w:kern w:val="0"/>
                <w:szCs w:val="21"/>
                <w:highlight w:val="none"/>
              </w:rPr>
              <w:t>投标人对招标文件提出</w:t>
            </w:r>
            <w:r>
              <w:rPr>
                <w:rFonts w:hint="eastAsia" w:ascii="宋体" w:hAnsi="宋体"/>
                <w:kern w:val="0"/>
                <w:szCs w:val="21"/>
                <w:highlight w:val="none"/>
              </w:rPr>
              <w:t>疑问</w:t>
            </w:r>
            <w:r>
              <w:rPr>
                <w:rFonts w:ascii="宋体" w:hAnsi="宋体"/>
                <w:kern w:val="0"/>
                <w:szCs w:val="21"/>
                <w:highlight w:val="none"/>
              </w:rPr>
              <w:t>的截止</w:t>
            </w:r>
          </w:p>
          <w:p>
            <w:pPr>
              <w:autoSpaceDE w:val="0"/>
              <w:autoSpaceDN w:val="0"/>
              <w:adjustRightInd w:val="0"/>
              <w:snapToGrid w:val="0"/>
              <w:spacing w:afterLines="0" w:line="400" w:lineRule="exact"/>
              <w:ind w:hanging="8"/>
              <w:jc w:val="center"/>
              <w:rPr>
                <w:rFonts w:hint="eastAsia" w:ascii="宋体" w:hAnsi="宋体" w:cs="宋体"/>
                <w:kern w:val="0"/>
                <w:szCs w:val="21"/>
                <w:highlight w:val="none"/>
              </w:rPr>
            </w:pPr>
            <w:r>
              <w:rPr>
                <w:rFonts w:ascii="宋体" w:hAnsi="宋体"/>
                <w:kern w:val="0"/>
                <w:szCs w:val="21"/>
                <w:highlight w:val="none"/>
              </w:rPr>
              <w:t>时间</w:t>
            </w:r>
          </w:p>
        </w:tc>
        <w:tc>
          <w:tcPr>
            <w:tcW w:w="6458" w:type="dxa"/>
            <w:tcBorders>
              <w:top w:val="single" w:color="000000" w:sz="4" w:space="0"/>
              <w:left w:val="single" w:color="000000" w:sz="4" w:space="0"/>
              <w:bottom w:val="single" w:color="000000" w:sz="4" w:space="0"/>
              <w:right w:val="single" w:color="000000" w:sz="4" w:space="0"/>
            </w:tcBorders>
            <w:vAlign w:val="center"/>
          </w:tcPr>
          <w:p>
            <w:pPr>
              <w:pStyle w:val="17"/>
              <w:snapToGrid w:val="0"/>
              <w:spacing w:afterLines="0" w:line="400" w:lineRule="exact"/>
              <w:ind w:firstLine="420" w:firstLineChars="200"/>
              <w:jc w:val="both"/>
              <w:rPr>
                <w:rFonts w:hint="eastAsia" w:hAnsi="宋体" w:cs="宋体"/>
                <w:color w:val="auto"/>
                <w:sz w:val="21"/>
                <w:szCs w:val="21"/>
                <w:highlight w:val="none"/>
              </w:rPr>
            </w:pPr>
            <w:r>
              <w:rPr>
                <w:rFonts w:hint="eastAsia" w:hAnsi="宋体" w:eastAsia="宋体" w:cs="宋体"/>
                <w:sz w:val="21"/>
                <w:szCs w:val="21"/>
                <w:highlight w:val="none"/>
              </w:rPr>
              <w:t>投标人应仔细阅读招标文件及附件的所有内容，如有文字表述不清，图纸尺寸标注不明以及存在错、漏、缺、概念模糊和有可能出现歧义或理解上的偏差的内容等应在招标公告规定的时间前在本项目招标公告网页下方“我要提问”栏提交。</w:t>
            </w:r>
          </w:p>
        </w:tc>
      </w:tr>
      <w:tr>
        <w:tblPrEx>
          <w:tblLayout w:type="fixed"/>
          <w:tblCellMar>
            <w:top w:w="0" w:type="dxa"/>
            <w:left w:w="0" w:type="dxa"/>
            <w:bottom w:w="0" w:type="dxa"/>
            <w:right w:w="0" w:type="dxa"/>
          </w:tblCellMar>
        </w:tblPrEx>
        <w:trPr>
          <w:trHeight w:val="868" w:hRule="atLeast"/>
          <w:jc w:val="center"/>
        </w:trPr>
        <w:tc>
          <w:tcPr>
            <w:tcW w:w="1164" w:type="dxa"/>
            <w:vMerge w:val="restart"/>
            <w:tcBorders>
              <w:top w:val="single" w:color="000000" w:sz="4" w:space="0"/>
              <w:left w:val="single" w:color="000000" w:sz="4" w:space="0"/>
              <w:right w:val="single" w:color="000000" w:sz="4" w:space="0"/>
            </w:tcBorders>
            <w:vAlign w:val="center"/>
          </w:tcPr>
          <w:p>
            <w:pPr>
              <w:snapToGrid w:val="0"/>
              <w:spacing w:afterLines="0" w:line="400" w:lineRule="exact"/>
              <w:jc w:val="center"/>
              <w:rPr>
                <w:rFonts w:hint="eastAsia" w:ascii="宋体" w:hAnsi="宋体" w:cs="宋体"/>
                <w:kern w:val="0"/>
                <w:szCs w:val="21"/>
                <w:highlight w:val="none"/>
              </w:rPr>
            </w:pPr>
            <w:r>
              <w:rPr>
                <w:rFonts w:ascii="宋体" w:hAnsi="宋体"/>
                <w:kern w:val="0"/>
                <w:szCs w:val="21"/>
                <w:highlight w:val="none"/>
              </w:rPr>
              <w:t>2.2.2</w:t>
            </w:r>
          </w:p>
        </w:tc>
        <w:tc>
          <w:tcPr>
            <w:tcW w:w="1701" w:type="dxa"/>
            <w:tcBorders>
              <w:top w:val="single" w:color="000000" w:sz="4" w:space="0"/>
              <w:left w:val="single" w:color="000000" w:sz="4" w:space="0"/>
              <w:bottom w:val="single" w:color="auto" w:sz="4" w:space="0"/>
              <w:right w:val="single" w:color="000000" w:sz="4" w:space="0"/>
            </w:tcBorders>
            <w:vAlign w:val="center"/>
          </w:tcPr>
          <w:p>
            <w:pPr>
              <w:snapToGrid w:val="0"/>
              <w:spacing w:afterLines="0" w:line="400" w:lineRule="exact"/>
              <w:jc w:val="center"/>
              <w:rPr>
                <w:rFonts w:hint="eastAsia" w:ascii="宋体" w:hAnsi="宋体" w:cs="宋体"/>
                <w:kern w:val="0"/>
                <w:szCs w:val="21"/>
                <w:highlight w:val="none"/>
              </w:rPr>
            </w:pPr>
            <w:r>
              <w:rPr>
                <w:rFonts w:ascii="宋体" w:hAnsi="宋体"/>
                <w:kern w:val="0"/>
                <w:szCs w:val="21"/>
                <w:highlight w:val="none"/>
              </w:rPr>
              <w:t>招标人对招标文件</w:t>
            </w:r>
            <w:r>
              <w:rPr>
                <w:rFonts w:hint="eastAsia" w:ascii="宋体" w:hAnsi="宋体"/>
                <w:kern w:val="0"/>
                <w:szCs w:val="21"/>
                <w:highlight w:val="none"/>
              </w:rPr>
              <w:t>澄清</w:t>
            </w:r>
            <w:r>
              <w:rPr>
                <w:rFonts w:ascii="宋体" w:hAnsi="宋体"/>
                <w:kern w:val="0"/>
                <w:szCs w:val="21"/>
                <w:highlight w:val="none"/>
              </w:rPr>
              <w:t>的截止时间</w:t>
            </w:r>
          </w:p>
        </w:tc>
        <w:tc>
          <w:tcPr>
            <w:tcW w:w="6458" w:type="dxa"/>
            <w:tcBorders>
              <w:top w:val="single" w:color="000000" w:sz="4" w:space="0"/>
              <w:left w:val="single" w:color="000000" w:sz="4" w:space="0"/>
              <w:bottom w:val="single" w:color="auto" w:sz="4" w:space="0"/>
              <w:right w:val="single" w:color="000000" w:sz="4" w:space="0"/>
            </w:tcBorders>
            <w:vAlign w:val="center"/>
          </w:tcPr>
          <w:p>
            <w:pPr>
              <w:snapToGrid w:val="0"/>
              <w:spacing w:afterLines="0" w:line="400" w:lineRule="exact"/>
              <w:ind w:firstLine="420" w:firstLineChars="200"/>
              <w:rPr>
                <w:rFonts w:hint="eastAsia" w:ascii="宋体" w:hAnsi="宋体" w:cs="宋体"/>
                <w:kern w:val="0"/>
                <w:szCs w:val="21"/>
                <w:highlight w:val="none"/>
              </w:rPr>
            </w:pPr>
            <w:r>
              <w:rPr>
                <w:rFonts w:hint="eastAsia" w:ascii="宋体" w:hAnsi="宋体"/>
                <w:szCs w:val="21"/>
                <w:highlight w:val="none"/>
              </w:rPr>
              <w:t>招标人应在招标公告规定的时间前</w:t>
            </w:r>
            <w:r>
              <w:rPr>
                <w:rFonts w:ascii="宋体" w:hAnsi="宋体"/>
                <w:szCs w:val="21"/>
                <w:highlight w:val="none"/>
              </w:rPr>
              <w:t>，</w:t>
            </w:r>
            <w:r>
              <w:rPr>
                <w:rFonts w:ascii="宋体" w:hAnsi="宋体"/>
                <w:kern w:val="0"/>
                <w:szCs w:val="21"/>
                <w:highlight w:val="none"/>
              </w:rPr>
              <w:t>在</w:t>
            </w:r>
            <w:r>
              <w:rPr>
                <w:rFonts w:hint="eastAsia" w:ascii="宋体" w:hAnsi="宋体"/>
                <w:kern w:val="0"/>
                <w:szCs w:val="21"/>
                <w:highlight w:val="none"/>
                <w:u w:val="single"/>
              </w:rPr>
              <w:t>重庆市公共资源交易网（www.cqggzy.com）</w:t>
            </w:r>
            <w:r>
              <w:rPr>
                <w:rFonts w:ascii="宋体" w:hAnsi="宋体"/>
                <w:kern w:val="0"/>
                <w:szCs w:val="21"/>
                <w:highlight w:val="none"/>
              </w:rPr>
              <w:t>发布</w:t>
            </w:r>
            <w:r>
              <w:rPr>
                <w:rFonts w:hint="eastAsia" w:ascii="宋体" w:hAnsi="宋体"/>
                <w:kern w:val="0"/>
                <w:szCs w:val="21"/>
                <w:highlight w:val="none"/>
              </w:rPr>
              <w:t>澄清</w:t>
            </w:r>
            <w:r>
              <w:rPr>
                <w:rFonts w:ascii="宋体" w:hAnsi="宋体"/>
                <w:kern w:val="0"/>
                <w:szCs w:val="21"/>
                <w:highlight w:val="none"/>
              </w:rPr>
              <w:t>。</w:t>
            </w:r>
          </w:p>
        </w:tc>
      </w:tr>
      <w:tr>
        <w:tblPrEx>
          <w:tblLayout w:type="fixed"/>
          <w:tblCellMar>
            <w:top w:w="0" w:type="dxa"/>
            <w:left w:w="0" w:type="dxa"/>
            <w:bottom w:w="0" w:type="dxa"/>
            <w:right w:w="0" w:type="dxa"/>
          </w:tblCellMar>
        </w:tblPrEx>
        <w:trPr>
          <w:trHeight w:val="342" w:hRule="atLeast"/>
          <w:jc w:val="center"/>
        </w:trPr>
        <w:tc>
          <w:tcPr>
            <w:tcW w:w="1164" w:type="dxa"/>
            <w:vMerge w:val="continue"/>
            <w:tcBorders>
              <w:left w:val="single" w:color="000000" w:sz="4" w:space="0"/>
              <w:bottom w:val="single" w:color="000000" w:sz="4" w:space="0"/>
              <w:right w:val="single" w:color="000000" w:sz="4" w:space="0"/>
            </w:tcBorders>
            <w:vAlign w:val="center"/>
          </w:tcPr>
          <w:p>
            <w:pPr>
              <w:snapToGrid w:val="0"/>
              <w:spacing w:afterLines="0" w:line="400" w:lineRule="exact"/>
              <w:jc w:val="center"/>
              <w:rPr>
                <w:rFonts w:hint="eastAsia" w:ascii="宋体" w:hAnsi="宋体" w:cs="宋体"/>
                <w:kern w:val="0"/>
                <w:szCs w:val="21"/>
                <w:highlight w:val="none"/>
              </w:rPr>
            </w:pPr>
          </w:p>
        </w:tc>
        <w:tc>
          <w:tcPr>
            <w:tcW w:w="1701" w:type="dxa"/>
            <w:tcBorders>
              <w:top w:val="single" w:color="auto" w:sz="4" w:space="0"/>
              <w:left w:val="single" w:color="000000" w:sz="4" w:space="0"/>
              <w:bottom w:val="single" w:color="000000" w:sz="4" w:space="0"/>
              <w:right w:val="single" w:color="000000" w:sz="4" w:space="0"/>
            </w:tcBorders>
            <w:vAlign w:val="center"/>
          </w:tcPr>
          <w:p>
            <w:pPr>
              <w:snapToGrid w:val="0"/>
              <w:spacing w:afterLines="0" w:line="400" w:lineRule="exact"/>
              <w:jc w:val="center"/>
              <w:rPr>
                <w:rFonts w:hint="eastAsia" w:ascii="宋体" w:hAnsi="宋体" w:cs="宋体"/>
                <w:kern w:val="0"/>
                <w:szCs w:val="21"/>
                <w:highlight w:val="none"/>
              </w:rPr>
            </w:pPr>
            <w:r>
              <w:rPr>
                <w:rFonts w:hint="eastAsia" w:ascii="宋体" w:hAnsi="宋体"/>
                <w:kern w:val="0"/>
                <w:szCs w:val="21"/>
                <w:highlight w:val="none"/>
              </w:rPr>
              <w:t>投标截止时间</w:t>
            </w:r>
          </w:p>
        </w:tc>
        <w:tc>
          <w:tcPr>
            <w:tcW w:w="6458" w:type="dxa"/>
            <w:tcBorders>
              <w:top w:val="single" w:color="auto" w:sz="4" w:space="0"/>
              <w:left w:val="single" w:color="000000" w:sz="4" w:space="0"/>
              <w:bottom w:val="single" w:color="000000" w:sz="4" w:space="0"/>
              <w:right w:val="single" w:color="000000" w:sz="4" w:space="0"/>
            </w:tcBorders>
            <w:vAlign w:val="center"/>
          </w:tcPr>
          <w:p>
            <w:pPr>
              <w:snapToGrid w:val="0"/>
              <w:spacing w:afterLines="0" w:line="400" w:lineRule="exact"/>
              <w:ind w:firstLine="420" w:firstLineChars="200"/>
              <w:rPr>
                <w:rFonts w:hint="eastAsia" w:ascii="宋体" w:hAnsi="宋体" w:cs="宋体"/>
                <w:bCs/>
                <w:szCs w:val="21"/>
                <w:highlight w:val="none"/>
              </w:rPr>
            </w:pPr>
            <w:r>
              <w:rPr>
                <w:rFonts w:hint="eastAsia" w:ascii="宋体" w:hAnsi="宋体"/>
                <w:szCs w:val="21"/>
                <w:highlight w:val="none"/>
              </w:rPr>
              <w:t>详见招标公告规定的投标截止时间。</w:t>
            </w:r>
          </w:p>
        </w:tc>
      </w:tr>
      <w:tr>
        <w:tblPrEx>
          <w:tblLayout w:type="fixed"/>
          <w:tblCellMar>
            <w:top w:w="0" w:type="dxa"/>
            <w:left w:w="0" w:type="dxa"/>
            <w:bottom w:w="0" w:type="dxa"/>
            <w:right w:w="0" w:type="dxa"/>
          </w:tblCellMar>
        </w:tblPrEx>
        <w:trPr>
          <w:trHeight w:val="885" w:hRule="atLeast"/>
          <w:jc w:val="center"/>
        </w:trPr>
        <w:tc>
          <w:tcPr>
            <w:tcW w:w="1164" w:type="dxa"/>
            <w:tcBorders>
              <w:top w:val="single" w:color="000000" w:sz="4" w:space="0"/>
              <w:left w:val="single" w:color="000000" w:sz="4" w:space="0"/>
              <w:bottom w:val="single" w:color="000000" w:sz="4" w:space="0"/>
              <w:right w:val="single" w:color="000000" w:sz="4" w:space="0"/>
            </w:tcBorders>
            <w:vAlign w:val="center"/>
          </w:tcPr>
          <w:p>
            <w:pPr>
              <w:snapToGrid w:val="0"/>
              <w:spacing w:afterLines="0" w:line="400" w:lineRule="exact"/>
              <w:jc w:val="center"/>
              <w:rPr>
                <w:rFonts w:hint="eastAsia" w:ascii="宋体" w:hAnsi="宋体" w:cs="宋体"/>
                <w:kern w:val="0"/>
                <w:szCs w:val="21"/>
                <w:highlight w:val="none"/>
              </w:rPr>
            </w:pPr>
            <w:r>
              <w:rPr>
                <w:rFonts w:ascii="宋体" w:hAnsi="宋体"/>
                <w:kern w:val="0"/>
                <w:szCs w:val="21"/>
                <w:highlight w:val="none"/>
              </w:rPr>
              <w:t>2.2.3</w:t>
            </w: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spacing w:after="0" w:afterLines="0" w:line="400" w:lineRule="exact"/>
              <w:jc w:val="center"/>
              <w:rPr>
                <w:rFonts w:hint="eastAsia" w:ascii="宋体" w:hAnsi="宋体" w:cs="宋体"/>
                <w:kern w:val="0"/>
                <w:szCs w:val="21"/>
                <w:highlight w:val="none"/>
              </w:rPr>
            </w:pPr>
            <w:r>
              <w:rPr>
                <w:rFonts w:ascii="宋体" w:hAnsi="宋体"/>
                <w:kern w:val="0"/>
                <w:szCs w:val="21"/>
                <w:highlight w:val="none"/>
              </w:rPr>
              <w:t>招标人对招标文件进行</w:t>
            </w:r>
            <w:r>
              <w:rPr>
                <w:rFonts w:hint="eastAsia" w:ascii="宋体" w:hAnsi="宋体"/>
                <w:kern w:val="0"/>
                <w:szCs w:val="21"/>
                <w:highlight w:val="none"/>
              </w:rPr>
              <w:t>修改</w:t>
            </w:r>
            <w:r>
              <w:rPr>
                <w:rFonts w:ascii="宋体" w:hAnsi="宋体"/>
                <w:kern w:val="0"/>
                <w:szCs w:val="21"/>
                <w:highlight w:val="none"/>
              </w:rPr>
              <w:t>的时间</w:t>
            </w:r>
          </w:p>
        </w:tc>
        <w:tc>
          <w:tcPr>
            <w:tcW w:w="6458" w:type="dxa"/>
            <w:tcBorders>
              <w:top w:val="single" w:color="000000" w:sz="4" w:space="0"/>
              <w:left w:val="single" w:color="000000" w:sz="4" w:space="0"/>
              <w:bottom w:val="single" w:color="000000" w:sz="4" w:space="0"/>
              <w:right w:val="single" w:color="000000" w:sz="4" w:space="0"/>
            </w:tcBorders>
            <w:vAlign w:val="center"/>
          </w:tcPr>
          <w:p>
            <w:pPr>
              <w:snapToGrid w:val="0"/>
              <w:spacing w:afterLines="0" w:line="400" w:lineRule="exact"/>
              <w:ind w:firstLine="420" w:firstLineChars="200"/>
              <w:rPr>
                <w:rFonts w:hint="eastAsia" w:ascii="宋体" w:hAnsi="宋体" w:cs="宋体"/>
                <w:szCs w:val="21"/>
                <w:highlight w:val="none"/>
              </w:rPr>
            </w:pPr>
            <w:r>
              <w:rPr>
                <w:rFonts w:hint="eastAsia" w:ascii="宋体" w:hAnsi="宋体"/>
                <w:snapToGrid w:val="0"/>
                <w:kern w:val="0"/>
                <w:szCs w:val="21"/>
                <w:highlight w:val="none"/>
              </w:rPr>
              <w:t>修改</w:t>
            </w:r>
            <w:r>
              <w:rPr>
                <w:rFonts w:ascii="宋体" w:hAnsi="宋体"/>
                <w:snapToGrid w:val="0"/>
                <w:kern w:val="0"/>
                <w:szCs w:val="21"/>
                <w:highlight w:val="none"/>
              </w:rPr>
              <w:t>内容可能影响投标文件编制的，须在投标截止时间15日前发布，发布时间至投标截止时间不足15日的，须相应延后投标截止时间。</w:t>
            </w:r>
          </w:p>
        </w:tc>
      </w:tr>
      <w:tr>
        <w:tblPrEx>
          <w:tblLayout w:type="fixed"/>
          <w:tblCellMar>
            <w:top w:w="0" w:type="dxa"/>
            <w:left w:w="0" w:type="dxa"/>
            <w:bottom w:w="0" w:type="dxa"/>
            <w:right w:w="0" w:type="dxa"/>
          </w:tblCellMar>
        </w:tblPrEx>
        <w:trPr>
          <w:trHeight w:val="445" w:hRule="atLeast"/>
          <w:jc w:val="center"/>
        </w:trPr>
        <w:tc>
          <w:tcPr>
            <w:tcW w:w="1164" w:type="dxa"/>
            <w:tcBorders>
              <w:top w:val="single" w:color="000000" w:sz="4" w:space="0"/>
              <w:left w:val="single" w:color="000000" w:sz="4" w:space="0"/>
              <w:bottom w:val="single" w:color="000000" w:sz="4" w:space="0"/>
              <w:right w:val="single" w:color="000000" w:sz="4" w:space="0"/>
            </w:tcBorders>
            <w:vAlign w:val="center"/>
          </w:tcPr>
          <w:p>
            <w:pPr>
              <w:snapToGrid w:val="0"/>
              <w:spacing w:afterLines="0" w:line="400" w:lineRule="exact"/>
              <w:jc w:val="center"/>
              <w:rPr>
                <w:rFonts w:ascii="宋体" w:hAnsi="宋体"/>
                <w:kern w:val="0"/>
                <w:szCs w:val="21"/>
                <w:highlight w:val="none"/>
              </w:rPr>
            </w:pPr>
            <w:r>
              <w:rPr>
                <w:rFonts w:ascii="宋体" w:hAnsi="宋体"/>
                <w:kern w:val="0"/>
                <w:szCs w:val="21"/>
                <w:highlight w:val="none"/>
              </w:rPr>
              <w:t>2.2.4</w:t>
            </w: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spacing w:afterLines="0" w:line="400" w:lineRule="exact"/>
              <w:jc w:val="center"/>
              <w:rPr>
                <w:rFonts w:ascii="宋体" w:hAnsi="宋体"/>
                <w:kern w:val="0"/>
                <w:szCs w:val="21"/>
                <w:highlight w:val="none"/>
              </w:rPr>
            </w:pPr>
            <w:r>
              <w:rPr>
                <w:rFonts w:ascii="宋体" w:hAnsi="宋体"/>
                <w:kern w:val="0"/>
                <w:szCs w:val="21"/>
                <w:highlight w:val="none"/>
              </w:rPr>
              <w:t>投标人对招标文件及澄清修改提出异议的截止时间</w:t>
            </w:r>
          </w:p>
        </w:tc>
        <w:tc>
          <w:tcPr>
            <w:tcW w:w="6458" w:type="dxa"/>
            <w:tcBorders>
              <w:top w:val="single" w:color="000000" w:sz="4" w:space="0"/>
              <w:left w:val="single" w:color="000000" w:sz="4" w:space="0"/>
              <w:bottom w:val="single" w:color="000000" w:sz="4" w:space="0"/>
              <w:right w:val="single" w:color="000000" w:sz="4" w:space="0"/>
            </w:tcBorders>
            <w:vAlign w:val="center"/>
          </w:tcPr>
          <w:p>
            <w:pPr>
              <w:snapToGrid w:val="0"/>
              <w:spacing w:afterLines="0" w:line="400" w:lineRule="exact"/>
              <w:ind w:firstLine="420" w:firstLineChars="200"/>
              <w:rPr>
                <w:rFonts w:hint="eastAsia" w:ascii="宋体" w:hAnsi="宋体"/>
                <w:snapToGrid w:val="0"/>
                <w:kern w:val="0"/>
                <w:szCs w:val="21"/>
                <w:highlight w:val="none"/>
              </w:rPr>
            </w:pPr>
            <w:r>
              <w:rPr>
                <w:rFonts w:ascii="宋体" w:hAnsi="宋体"/>
                <w:snapToGrid w:val="0"/>
                <w:kern w:val="0"/>
                <w:szCs w:val="21"/>
                <w:highlight w:val="none"/>
              </w:rPr>
              <w:t>投标人对招标文件和</w:t>
            </w:r>
            <w:r>
              <w:rPr>
                <w:rFonts w:hint="eastAsia" w:ascii="宋体" w:hAnsi="宋体"/>
                <w:snapToGrid w:val="0"/>
                <w:kern w:val="0"/>
                <w:szCs w:val="21"/>
                <w:highlight w:val="none"/>
              </w:rPr>
              <w:t>澄清修改</w:t>
            </w:r>
            <w:r>
              <w:rPr>
                <w:rFonts w:ascii="宋体" w:hAnsi="宋体"/>
                <w:snapToGrid w:val="0"/>
                <w:kern w:val="0"/>
                <w:szCs w:val="21"/>
                <w:highlight w:val="none"/>
              </w:rPr>
              <w:t>有异议的，应当在投标截止时间10日前，</w:t>
            </w:r>
            <w:r>
              <w:rPr>
                <w:rFonts w:hint="eastAsia" w:ascii="宋体" w:hAnsi="宋体"/>
                <w:snapToGrid w:val="0"/>
                <w:kern w:val="0"/>
                <w:szCs w:val="21"/>
                <w:highlight w:val="none"/>
              </w:rPr>
              <w:t>以书面形式通知招标人或招标代理机构</w:t>
            </w:r>
            <w:r>
              <w:rPr>
                <w:rFonts w:ascii="宋体" w:hAnsi="宋体"/>
                <w:snapToGrid w:val="0"/>
                <w:kern w:val="0"/>
                <w:szCs w:val="21"/>
                <w:highlight w:val="none"/>
              </w:rPr>
              <w:t>。招标人应当自收到异议之日起3日内做出答复，</w:t>
            </w:r>
            <w:r>
              <w:rPr>
                <w:rFonts w:hint="eastAsia" w:ascii="宋体" w:hAnsi="宋体"/>
                <w:snapToGrid w:val="0"/>
                <w:kern w:val="0"/>
                <w:szCs w:val="21"/>
                <w:highlight w:val="none"/>
              </w:rPr>
              <w:t>答复内容可能影响投标文件编制的，将以修改的形式于投标截止时间15日前在</w:t>
            </w:r>
            <w:r>
              <w:rPr>
                <w:rFonts w:hint="eastAsia" w:ascii="宋体" w:hAnsi="宋体"/>
                <w:snapToGrid w:val="0"/>
                <w:kern w:val="0"/>
                <w:szCs w:val="21"/>
                <w:highlight w:val="none"/>
                <w:u w:val="single"/>
              </w:rPr>
              <w:t>重庆市公共资源交易网（www.cqggzy.com）</w:t>
            </w:r>
            <w:r>
              <w:rPr>
                <w:rFonts w:hint="eastAsia" w:ascii="宋体" w:hAnsi="宋体"/>
                <w:snapToGrid w:val="0"/>
                <w:kern w:val="0"/>
                <w:szCs w:val="21"/>
                <w:highlight w:val="none"/>
              </w:rPr>
              <w:t>澄清修改区发布。发布时间至投标截止时间不足15日的，须相应延后投标截止时间</w:t>
            </w:r>
            <w:r>
              <w:rPr>
                <w:rFonts w:ascii="宋体" w:hAnsi="宋体"/>
                <w:snapToGrid w:val="0"/>
                <w:kern w:val="0"/>
                <w:szCs w:val="21"/>
                <w:highlight w:val="none"/>
              </w:rPr>
              <w:t>。</w:t>
            </w:r>
          </w:p>
        </w:tc>
      </w:tr>
      <w:tr>
        <w:tblPrEx>
          <w:tblLayout w:type="fixed"/>
          <w:tblCellMar>
            <w:top w:w="0" w:type="dxa"/>
            <w:left w:w="0" w:type="dxa"/>
            <w:bottom w:w="0" w:type="dxa"/>
            <w:right w:w="0" w:type="dxa"/>
          </w:tblCellMar>
        </w:tblPrEx>
        <w:trPr>
          <w:jc w:val="center"/>
        </w:trPr>
        <w:tc>
          <w:tcPr>
            <w:tcW w:w="11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jc w:val="center"/>
              <w:rPr>
                <w:rFonts w:hint="eastAsia" w:ascii="宋体" w:hAnsi="宋体" w:cs="宋体"/>
                <w:kern w:val="0"/>
                <w:szCs w:val="21"/>
                <w:highlight w:val="none"/>
              </w:rPr>
            </w:pPr>
            <w:r>
              <w:rPr>
                <w:rFonts w:hint="eastAsia" w:ascii="宋体" w:hAnsi="宋体" w:cs="宋体"/>
                <w:kern w:val="0"/>
                <w:szCs w:val="21"/>
                <w:highlight w:val="none"/>
              </w:rPr>
              <w:t>3.1.1</w:t>
            </w: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17"/>
              <w:snapToGrid w:val="0"/>
              <w:spacing w:afterLines="0" w:line="400" w:lineRule="exact"/>
              <w:jc w:val="center"/>
              <w:rPr>
                <w:rFonts w:hint="eastAsia" w:hAnsi="宋体" w:eastAsia="宋体" w:cs="宋体"/>
                <w:bCs/>
                <w:color w:val="auto"/>
                <w:sz w:val="21"/>
                <w:szCs w:val="21"/>
                <w:highlight w:val="none"/>
              </w:rPr>
            </w:pPr>
            <w:r>
              <w:rPr>
                <w:rFonts w:hint="eastAsia" w:hAnsi="宋体" w:eastAsia="宋体" w:cs="宋体"/>
                <w:bCs/>
                <w:color w:val="auto"/>
                <w:sz w:val="21"/>
                <w:szCs w:val="21"/>
                <w:highlight w:val="none"/>
              </w:rPr>
              <w:t>构成投标文件的</w:t>
            </w:r>
          </w:p>
          <w:p>
            <w:pPr>
              <w:pStyle w:val="17"/>
              <w:snapToGrid w:val="0"/>
              <w:spacing w:afterLines="0" w:line="400" w:lineRule="exact"/>
              <w:jc w:val="center"/>
              <w:rPr>
                <w:rFonts w:hint="eastAsia" w:hAnsi="宋体" w:eastAsia="宋体" w:cs="宋体"/>
                <w:color w:val="auto"/>
                <w:sz w:val="21"/>
                <w:szCs w:val="21"/>
                <w:highlight w:val="none"/>
              </w:rPr>
            </w:pPr>
            <w:r>
              <w:rPr>
                <w:rFonts w:hint="eastAsia" w:hAnsi="宋体" w:eastAsia="宋体" w:cs="宋体"/>
                <w:bCs/>
                <w:color w:val="auto"/>
                <w:sz w:val="21"/>
                <w:szCs w:val="21"/>
                <w:highlight w:val="none"/>
              </w:rPr>
              <w:t>其他材料</w:t>
            </w:r>
          </w:p>
        </w:tc>
        <w:tc>
          <w:tcPr>
            <w:tcW w:w="6458" w:type="dxa"/>
            <w:tcBorders>
              <w:top w:val="single" w:color="000000" w:sz="4" w:space="0"/>
              <w:left w:val="single" w:color="000000" w:sz="4" w:space="0"/>
              <w:bottom w:val="single" w:color="000000" w:sz="4" w:space="0"/>
              <w:right w:val="single" w:color="000000" w:sz="4" w:space="0"/>
            </w:tcBorders>
            <w:vAlign w:val="center"/>
          </w:tcPr>
          <w:p>
            <w:pPr>
              <w:pStyle w:val="17"/>
              <w:snapToGrid w:val="0"/>
              <w:spacing w:afterLines="0" w:line="400" w:lineRule="exact"/>
              <w:jc w:val="both"/>
              <w:rPr>
                <w:rFonts w:hint="eastAsia" w:hAnsi="宋体" w:eastAsia="宋体" w:cs="宋体"/>
                <w:color w:val="auto"/>
                <w:sz w:val="21"/>
                <w:szCs w:val="21"/>
                <w:highlight w:val="none"/>
              </w:rPr>
            </w:pPr>
            <w:r>
              <w:rPr>
                <w:rFonts w:hint="eastAsia" w:hAnsi="宋体" w:eastAsia="宋体" w:cs="宋体"/>
                <w:bCs/>
                <w:color w:val="auto"/>
                <w:sz w:val="21"/>
                <w:szCs w:val="21"/>
                <w:highlight w:val="none"/>
              </w:rPr>
              <w:t>投标人的书面澄清、说明及补正（但不得改变投标文件的实质性内容）。</w:t>
            </w:r>
          </w:p>
        </w:tc>
      </w:tr>
      <w:tr>
        <w:tblPrEx>
          <w:tblLayout w:type="fixed"/>
          <w:tblCellMar>
            <w:top w:w="0" w:type="dxa"/>
            <w:left w:w="0" w:type="dxa"/>
            <w:bottom w:w="0" w:type="dxa"/>
            <w:right w:w="0" w:type="dxa"/>
          </w:tblCellMar>
        </w:tblPrEx>
        <w:trPr>
          <w:trHeight w:val="90" w:hRule="atLeast"/>
          <w:jc w:val="center"/>
        </w:trPr>
        <w:tc>
          <w:tcPr>
            <w:tcW w:w="11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jc w:val="center"/>
              <w:rPr>
                <w:rFonts w:hint="eastAsia" w:ascii="宋体" w:hAnsi="宋体" w:cs="宋体"/>
                <w:kern w:val="0"/>
                <w:szCs w:val="21"/>
                <w:highlight w:val="none"/>
              </w:rPr>
            </w:pPr>
            <w:r>
              <w:rPr>
                <w:rFonts w:hint="eastAsia" w:ascii="宋体" w:hAnsi="宋体" w:cs="宋体"/>
                <w:kern w:val="0"/>
                <w:szCs w:val="21"/>
                <w:highlight w:val="none"/>
              </w:rPr>
              <w:t>3.2.3</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ind w:hanging="8"/>
              <w:jc w:val="center"/>
              <w:rPr>
                <w:rFonts w:hint="eastAsia" w:ascii="宋体" w:hAnsi="宋体" w:cs="宋体"/>
                <w:kern w:val="0"/>
                <w:szCs w:val="21"/>
                <w:highlight w:val="none"/>
              </w:rPr>
            </w:pPr>
            <w:r>
              <w:rPr>
                <w:rFonts w:hint="eastAsia" w:ascii="宋体" w:hAnsi="宋体" w:cs="宋体"/>
                <w:kern w:val="0"/>
                <w:szCs w:val="21"/>
                <w:highlight w:val="none"/>
              </w:rPr>
              <w:t>报价</w:t>
            </w:r>
            <w:r>
              <w:rPr>
                <w:rFonts w:hint="eastAsia" w:ascii="宋体" w:hAnsi="宋体" w:cs="宋体"/>
                <w:spacing w:val="-2"/>
                <w:kern w:val="0"/>
                <w:szCs w:val="21"/>
                <w:highlight w:val="none"/>
              </w:rPr>
              <w:t>方</w:t>
            </w:r>
            <w:r>
              <w:rPr>
                <w:rFonts w:hint="eastAsia" w:ascii="宋体" w:hAnsi="宋体" w:cs="宋体"/>
                <w:kern w:val="0"/>
                <w:szCs w:val="21"/>
                <w:highlight w:val="none"/>
              </w:rPr>
              <w:t>式</w:t>
            </w:r>
          </w:p>
        </w:tc>
        <w:tc>
          <w:tcPr>
            <w:tcW w:w="6458" w:type="dxa"/>
            <w:tcBorders>
              <w:top w:val="single" w:color="000000" w:sz="4" w:space="0"/>
              <w:left w:val="single" w:color="000000" w:sz="4" w:space="0"/>
              <w:bottom w:val="single" w:color="000000" w:sz="4" w:space="0"/>
              <w:right w:val="single" w:color="000000" w:sz="4" w:space="0"/>
            </w:tcBorders>
            <w:vAlign w:val="center"/>
          </w:tcPr>
          <w:p>
            <w:pPr>
              <w:numPr>
                <w:ilvl w:val="0"/>
                <w:numId w:val="0"/>
              </w:numPr>
              <w:tabs>
                <w:tab w:val="left" w:pos="1050"/>
                <w:tab w:val="left" w:pos="1470"/>
              </w:tabs>
              <w:autoSpaceDE w:val="0"/>
              <w:autoSpaceDN w:val="0"/>
              <w:adjustRightInd w:val="0"/>
              <w:snapToGrid w:val="0"/>
              <w:spacing w:afterLines="0"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lang w:val="en-US" w:eastAsia="zh-CN"/>
              </w:rPr>
              <w:t xml:space="preserve">1. </w:t>
            </w:r>
            <w:r>
              <w:rPr>
                <w:rFonts w:hint="eastAsia" w:ascii="宋体" w:hAnsi="宋体" w:cs="宋体"/>
                <w:kern w:val="0"/>
                <w:szCs w:val="21"/>
                <w:highlight w:val="none"/>
                <w:lang w:val="en-GB"/>
              </w:rPr>
              <w:t>投标人的报价范围应是本项目服务范围内的全部工作内容。</w:t>
            </w:r>
            <w:r>
              <w:rPr>
                <w:rFonts w:hint="eastAsia" w:ascii="宋体" w:hAnsi="宋体" w:cs="宋体"/>
                <w:b/>
                <w:bCs/>
                <w:kern w:val="0"/>
                <w:szCs w:val="21"/>
                <w:highlight w:val="none"/>
              </w:rPr>
              <w:t>本项目合同费用采用总价包干方式</w:t>
            </w:r>
            <w:r>
              <w:rPr>
                <w:rFonts w:hint="eastAsia" w:ascii="宋体" w:hAnsi="宋体" w:cs="宋体"/>
                <w:b/>
                <w:bCs/>
                <w:kern w:val="0"/>
                <w:szCs w:val="21"/>
                <w:highlight w:val="none"/>
                <w:lang w:val="en-GB"/>
              </w:rPr>
              <w:t>。</w:t>
            </w:r>
          </w:p>
          <w:p>
            <w:pPr>
              <w:tabs>
                <w:tab w:val="left" w:pos="1050"/>
                <w:tab w:val="left" w:pos="1470"/>
              </w:tabs>
              <w:autoSpaceDE w:val="0"/>
              <w:autoSpaceDN w:val="0"/>
              <w:adjustRightInd w:val="0"/>
              <w:snapToGrid w:val="0"/>
              <w:spacing w:afterLines="0" w:line="400" w:lineRule="exact"/>
              <w:ind w:firstLine="420" w:firstLineChars="200"/>
              <w:jc w:val="left"/>
              <w:rPr>
                <w:rFonts w:hint="eastAsia" w:ascii="宋体" w:hAnsi="宋体" w:cs="宋体"/>
                <w:kern w:val="0"/>
                <w:szCs w:val="21"/>
                <w:highlight w:val="none"/>
                <w:lang w:val="en-GB"/>
              </w:rPr>
            </w:pPr>
            <w:r>
              <w:rPr>
                <w:rFonts w:hint="eastAsia" w:ascii="宋体" w:hAnsi="宋体" w:cs="宋体"/>
                <w:kern w:val="0"/>
                <w:szCs w:val="21"/>
                <w:highlight w:val="none"/>
                <w:lang w:val="en-GB"/>
              </w:rPr>
              <w:t>2.</w:t>
            </w:r>
            <w:r>
              <w:rPr>
                <w:rFonts w:hint="eastAsia" w:ascii="宋体" w:hAnsi="宋体" w:cs="宋体"/>
                <w:kern w:val="0"/>
                <w:highlight w:val="none"/>
              </w:rPr>
              <w:t xml:space="preserve"> </w:t>
            </w:r>
            <w:r>
              <w:rPr>
                <w:rFonts w:hint="eastAsia" w:ascii="宋体" w:hAnsi="宋体" w:cs="宋体"/>
                <w:kern w:val="0"/>
                <w:szCs w:val="21"/>
                <w:highlight w:val="none"/>
                <w:lang w:val="en-GB"/>
              </w:rPr>
              <w:t>本项目投标人应根据招标文件的要求，并结合自身实力和市场行情，对咨询服务工作进行自主报价，投标总报价应包括为完成全部工作范围内所需的人工费、设施设备费、安全措施费、物资费、样品鉴定费、打印费、证件办理费、保险费、风险费、措施费、交通费、差旅费、会议费、专家费、</w:t>
            </w:r>
            <w:r>
              <w:rPr>
                <w:rFonts w:hint="eastAsia" w:ascii="宋体" w:hAnsi="宋体" w:cs="宋体"/>
                <w:kern w:val="0"/>
                <w:szCs w:val="21"/>
                <w:highlight w:val="none"/>
                <w:lang w:val="en-GB" w:eastAsia="zh-CN"/>
              </w:rPr>
              <w:t>评审费、</w:t>
            </w:r>
            <w:r>
              <w:rPr>
                <w:rFonts w:hint="eastAsia" w:ascii="宋体" w:hAnsi="宋体" w:cs="宋体"/>
                <w:kern w:val="0"/>
                <w:szCs w:val="21"/>
                <w:highlight w:val="none"/>
                <w:lang w:val="en-GB"/>
              </w:rPr>
              <w:t>手续费、</w:t>
            </w:r>
            <w:r>
              <w:rPr>
                <w:rFonts w:hint="eastAsia" w:ascii="宋体" w:hAnsi="宋体" w:cs="宋体"/>
                <w:kern w:val="0"/>
                <w:szCs w:val="21"/>
                <w:highlight w:val="none"/>
                <w:lang w:val="zh-CN"/>
              </w:rPr>
              <w:t>管理费、利润</w:t>
            </w:r>
            <w:r>
              <w:rPr>
                <w:rFonts w:hint="eastAsia" w:ascii="宋体" w:hAnsi="宋体" w:cs="宋体"/>
                <w:kern w:val="0"/>
                <w:szCs w:val="21"/>
                <w:highlight w:val="none"/>
                <w:lang w:val="en-GB"/>
              </w:rPr>
              <w:t>以及完成</w:t>
            </w:r>
            <w:r>
              <w:rPr>
                <w:rFonts w:hint="eastAsia" w:ascii="宋体" w:hAnsi="宋体" w:cs="宋体"/>
                <w:kern w:val="0"/>
                <w:szCs w:val="21"/>
                <w:highlight w:val="none"/>
                <w:lang w:val="en-GB" w:eastAsia="zh-CN"/>
              </w:rPr>
              <w:t>相关</w:t>
            </w:r>
            <w:r>
              <w:rPr>
                <w:rFonts w:hint="eastAsia" w:ascii="宋体" w:hAnsi="宋体" w:cs="宋体"/>
                <w:kern w:val="0"/>
                <w:szCs w:val="21"/>
                <w:highlight w:val="none"/>
                <w:lang w:val="en-GB"/>
              </w:rPr>
              <w:t>手续办理等工作的所有费用，招标人不再另行支付任何费用。在合同履行期间，无论物价变动、国家或地方政府的法律法规的变动均不增减服务费。</w:t>
            </w:r>
          </w:p>
          <w:p>
            <w:pPr>
              <w:tabs>
                <w:tab w:val="left" w:pos="1050"/>
                <w:tab w:val="left" w:pos="1470"/>
              </w:tabs>
              <w:autoSpaceDE w:val="0"/>
              <w:autoSpaceDN w:val="0"/>
              <w:adjustRightInd w:val="0"/>
              <w:snapToGrid w:val="0"/>
              <w:spacing w:afterLines="0" w:line="400" w:lineRule="exact"/>
              <w:ind w:firstLine="420" w:firstLineChars="200"/>
              <w:jc w:val="left"/>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3. 合同履行期间，若甲方需增加研究区域，则增加的区域中，3km²（含）以内部分，由乙方免费提供服务；3km²以外部分，按合同咨询费总金额除以37km²计算单价后，以面积计费。</w:t>
            </w:r>
          </w:p>
          <w:p>
            <w:pPr>
              <w:tabs>
                <w:tab w:val="left" w:pos="1050"/>
                <w:tab w:val="left" w:pos="1470"/>
              </w:tabs>
              <w:autoSpaceDE w:val="0"/>
              <w:autoSpaceDN w:val="0"/>
              <w:adjustRightInd w:val="0"/>
              <w:snapToGrid w:val="0"/>
              <w:spacing w:afterLines="0" w:line="400" w:lineRule="exact"/>
              <w:ind w:firstLine="420" w:firstLineChars="200"/>
              <w:jc w:val="left"/>
              <w:rPr>
                <w:rFonts w:hint="eastAsia" w:ascii="宋体" w:hAnsi="宋体" w:cs="宋体"/>
                <w:b/>
                <w:bCs/>
                <w:kern w:val="0"/>
                <w:szCs w:val="21"/>
                <w:highlight w:val="none"/>
                <w:lang w:val="en-GB"/>
              </w:rPr>
            </w:pPr>
            <w:r>
              <w:rPr>
                <w:rFonts w:hint="eastAsia" w:ascii="宋体" w:hAnsi="宋体" w:cs="宋体"/>
                <w:b w:val="0"/>
                <w:bCs w:val="0"/>
                <w:kern w:val="0"/>
                <w:szCs w:val="21"/>
                <w:highlight w:val="none"/>
                <w:lang w:val="en-US" w:eastAsia="zh-CN"/>
              </w:rPr>
              <w:t>4</w:t>
            </w:r>
            <w:r>
              <w:rPr>
                <w:rFonts w:hint="eastAsia" w:ascii="宋体" w:hAnsi="宋体" w:cs="宋体"/>
                <w:b w:val="0"/>
                <w:bCs w:val="0"/>
                <w:kern w:val="0"/>
                <w:szCs w:val="21"/>
                <w:highlight w:val="none"/>
                <w:lang w:val="en-GB"/>
              </w:rPr>
              <w:t>.</w:t>
            </w:r>
            <w:r>
              <w:rPr>
                <w:rFonts w:hint="eastAsia" w:ascii="宋体" w:hAnsi="宋体" w:cs="宋体"/>
                <w:b/>
                <w:bCs/>
                <w:kern w:val="0"/>
                <w:highlight w:val="none"/>
              </w:rPr>
              <w:t xml:space="preserve"> </w:t>
            </w:r>
            <w:r>
              <w:rPr>
                <w:rFonts w:hint="eastAsia" w:ascii="宋体" w:hAnsi="宋体" w:cs="宋体"/>
                <w:b/>
                <w:bCs/>
                <w:kern w:val="0"/>
                <w:szCs w:val="21"/>
                <w:highlight w:val="none"/>
                <w:lang w:val="en-GB"/>
              </w:rPr>
              <w:t>本项目投标总报价最高限价为</w:t>
            </w:r>
            <w:r>
              <w:rPr>
                <w:rFonts w:hint="eastAsia" w:ascii="宋体" w:hAnsi="宋体" w:cs="宋体"/>
                <w:b/>
                <w:bCs/>
                <w:kern w:val="0"/>
                <w:szCs w:val="21"/>
                <w:highlight w:val="none"/>
                <w:u w:val="single"/>
                <w:lang w:val="en-US" w:eastAsia="zh-CN"/>
              </w:rPr>
              <w:t>891509.00</w:t>
            </w:r>
            <w:r>
              <w:rPr>
                <w:rFonts w:hint="eastAsia" w:ascii="宋体" w:hAnsi="宋体" w:cs="宋体"/>
                <w:b/>
                <w:bCs/>
                <w:kern w:val="0"/>
                <w:szCs w:val="21"/>
                <w:highlight w:val="none"/>
                <w:lang w:val="en-GB"/>
              </w:rPr>
              <w:t>元（不</w:t>
            </w:r>
            <w:r>
              <w:rPr>
                <w:rFonts w:hint="eastAsia" w:ascii="宋体" w:hAnsi="宋体" w:cs="宋体"/>
                <w:b/>
                <w:bCs/>
                <w:kern w:val="0"/>
                <w:szCs w:val="21"/>
                <w:highlight w:val="none"/>
                <w:u w:val="single"/>
                <w:lang w:val="en-GB"/>
              </w:rPr>
              <w:t>含增值税</w:t>
            </w:r>
            <w:r>
              <w:rPr>
                <w:rFonts w:hint="eastAsia" w:ascii="宋体" w:hAnsi="宋体" w:cs="宋体"/>
                <w:b/>
                <w:bCs/>
                <w:kern w:val="0"/>
                <w:szCs w:val="21"/>
                <w:highlight w:val="none"/>
                <w:lang w:val="en-GB"/>
              </w:rPr>
              <w:t>）。投标人的投标总报价不得超过最高限价，否则其投标将被否决。</w:t>
            </w:r>
          </w:p>
          <w:p>
            <w:pPr>
              <w:pStyle w:val="19"/>
              <w:autoSpaceDE/>
              <w:autoSpaceDN/>
              <w:adjustRightInd w:val="0"/>
              <w:snapToGrid w:val="0"/>
              <w:spacing w:afterLines="0" w:line="400" w:lineRule="exact"/>
              <w:ind w:firstLine="420" w:firstLineChars="200"/>
              <w:rPr>
                <w:rFonts w:hint="eastAsia" w:eastAsia="宋体"/>
                <w:kern w:val="0"/>
                <w:sz w:val="21"/>
                <w:szCs w:val="21"/>
                <w:highlight w:val="none"/>
                <w:lang w:eastAsia="zh-CN"/>
              </w:rPr>
            </w:pPr>
            <w:r>
              <w:rPr>
                <w:rFonts w:hint="eastAsia"/>
                <w:kern w:val="0"/>
                <w:sz w:val="21"/>
                <w:szCs w:val="21"/>
                <w:highlight w:val="none"/>
                <w:lang w:val="en-US" w:eastAsia="zh-CN"/>
              </w:rPr>
              <w:t>5</w:t>
            </w:r>
            <w:r>
              <w:rPr>
                <w:rFonts w:hint="eastAsia"/>
                <w:kern w:val="0"/>
                <w:sz w:val="21"/>
                <w:szCs w:val="21"/>
                <w:highlight w:val="none"/>
                <w:lang w:val="en-GB"/>
              </w:rPr>
              <w:t>.</w:t>
            </w:r>
            <w:r>
              <w:rPr>
                <w:rFonts w:hint="eastAsia"/>
                <w:kern w:val="0"/>
                <w:sz w:val="21"/>
                <w:szCs w:val="21"/>
                <w:highlight w:val="none"/>
                <w:lang w:val="en-US"/>
              </w:rPr>
              <w:t xml:space="preserve"> </w:t>
            </w:r>
            <w:r>
              <w:rPr>
                <w:rFonts w:hint="eastAsia"/>
                <w:kern w:val="0"/>
                <w:sz w:val="21"/>
                <w:szCs w:val="21"/>
                <w:highlight w:val="none"/>
                <w:lang w:val="en-GB"/>
              </w:rPr>
              <w:t>本项目相关服务的工作依据和</w:t>
            </w:r>
            <w:r>
              <w:rPr>
                <w:rFonts w:hint="eastAsia"/>
                <w:kern w:val="0"/>
                <w:sz w:val="21"/>
                <w:szCs w:val="21"/>
                <w:highlight w:val="none"/>
              </w:rPr>
              <w:t>范围</w:t>
            </w:r>
            <w:r>
              <w:rPr>
                <w:rFonts w:hint="eastAsia"/>
                <w:kern w:val="0"/>
                <w:sz w:val="21"/>
                <w:szCs w:val="21"/>
                <w:highlight w:val="none"/>
                <w:lang w:eastAsia="zh-CN"/>
              </w:rPr>
              <w:t>为</w:t>
            </w:r>
            <w:r>
              <w:rPr>
                <w:rFonts w:hint="eastAsia"/>
                <w:kern w:val="0"/>
                <w:sz w:val="21"/>
                <w:szCs w:val="21"/>
                <w:highlight w:val="none"/>
              </w:rPr>
              <w:t>重庆新机场预可研、可研、总规报告编制</w:t>
            </w:r>
            <w:r>
              <w:rPr>
                <w:rFonts w:hint="eastAsia"/>
                <w:kern w:val="0"/>
                <w:sz w:val="21"/>
                <w:szCs w:val="21"/>
                <w:highlight w:val="none"/>
                <w:lang w:eastAsia="zh-CN"/>
              </w:rPr>
              <w:t>、审批</w:t>
            </w:r>
            <w:r>
              <w:rPr>
                <w:rFonts w:hint="eastAsia"/>
                <w:kern w:val="0"/>
                <w:sz w:val="21"/>
                <w:szCs w:val="21"/>
                <w:highlight w:val="none"/>
              </w:rPr>
              <w:t>和</w:t>
            </w:r>
            <w:r>
              <w:rPr>
                <w:rFonts w:hint="eastAsia"/>
                <w:kern w:val="0"/>
                <w:sz w:val="21"/>
                <w:szCs w:val="21"/>
                <w:highlight w:val="none"/>
                <w:lang w:eastAsia="zh-CN"/>
              </w:rPr>
              <w:t>综合交通枢纽工程</w:t>
            </w:r>
            <w:r>
              <w:rPr>
                <w:rFonts w:hint="eastAsia"/>
                <w:kern w:val="0"/>
                <w:sz w:val="21"/>
                <w:szCs w:val="21"/>
                <w:highlight w:val="none"/>
              </w:rPr>
              <w:t>立项（代可研）报告编制需求</w:t>
            </w:r>
            <w:r>
              <w:rPr>
                <w:rFonts w:hint="eastAsia"/>
                <w:kern w:val="0"/>
                <w:sz w:val="21"/>
                <w:szCs w:val="21"/>
                <w:highlight w:val="none"/>
                <w:lang w:eastAsia="zh-CN"/>
              </w:rPr>
              <w:t>。</w:t>
            </w:r>
          </w:p>
        </w:tc>
      </w:tr>
      <w:tr>
        <w:tblPrEx>
          <w:tblLayout w:type="fixed"/>
          <w:tblCellMar>
            <w:top w:w="0" w:type="dxa"/>
            <w:left w:w="0" w:type="dxa"/>
            <w:bottom w:w="0" w:type="dxa"/>
            <w:right w:w="0" w:type="dxa"/>
          </w:tblCellMar>
        </w:tblPrEx>
        <w:trPr>
          <w:jc w:val="center"/>
        </w:trPr>
        <w:tc>
          <w:tcPr>
            <w:tcW w:w="11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jc w:val="center"/>
              <w:rPr>
                <w:rFonts w:hint="eastAsia" w:ascii="宋体" w:hAnsi="宋体" w:cs="宋体"/>
                <w:kern w:val="0"/>
                <w:szCs w:val="21"/>
                <w:highlight w:val="none"/>
              </w:rPr>
            </w:pPr>
            <w:r>
              <w:rPr>
                <w:rFonts w:hint="eastAsia" w:ascii="宋体" w:hAnsi="宋体" w:cs="宋体"/>
                <w:kern w:val="0"/>
                <w:szCs w:val="21"/>
                <w:highlight w:val="none"/>
              </w:rPr>
              <w:t>3.3.1</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ind w:hanging="8"/>
              <w:jc w:val="center"/>
              <w:rPr>
                <w:rFonts w:hint="eastAsia" w:ascii="宋体" w:hAnsi="宋体" w:cs="宋体"/>
                <w:kern w:val="0"/>
                <w:szCs w:val="21"/>
                <w:highlight w:val="none"/>
              </w:rPr>
            </w:pPr>
            <w:r>
              <w:rPr>
                <w:rFonts w:hint="eastAsia" w:ascii="宋体" w:hAnsi="宋体" w:cs="宋体"/>
                <w:kern w:val="0"/>
                <w:szCs w:val="21"/>
                <w:highlight w:val="none"/>
              </w:rPr>
              <w:t>投标</w:t>
            </w:r>
            <w:r>
              <w:rPr>
                <w:rFonts w:hint="eastAsia" w:ascii="宋体" w:hAnsi="宋体" w:cs="宋体"/>
                <w:spacing w:val="-2"/>
                <w:kern w:val="0"/>
                <w:szCs w:val="21"/>
                <w:highlight w:val="none"/>
              </w:rPr>
              <w:t>有</w:t>
            </w:r>
            <w:r>
              <w:rPr>
                <w:rFonts w:hint="eastAsia" w:ascii="宋体" w:hAnsi="宋体" w:cs="宋体"/>
                <w:kern w:val="0"/>
                <w:szCs w:val="21"/>
                <w:highlight w:val="none"/>
              </w:rPr>
              <w:t>效期</w:t>
            </w:r>
          </w:p>
        </w:tc>
        <w:tc>
          <w:tcPr>
            <w:tcW w:w="645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ind w:firstLine="210" w:firstLineChars="100"/>
              <w:jc w:val="left"/>
              <w:rPr>
                <w:rFonts w:hint="eastAsia" w:ascii="宋体" w:hAnsi="宋体" w:cs="宋体"/>
                <w:kern w:val="0"/>
                <w:szCs w:val="21"/>
                <w:highlight w:val="none"/>
              </w:rPr>
            </w:pPr>
            <w:r>
              <w:rPr>
                <w:rFonts w:hint="eastAsia" w:ascii="宋体" w:hAnsi="宋体" w:cs="宋体"/>
                <w:szCs w:val="21"/>
                <w:highlight w:val="none"/>
                <w:u w:val="single"/>
              </w:rPr>
              <w:t xml:space="preserve"> 90</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日历天（从提交投标文件截止日起计算）</w:t>
            </w:r>
          </w:p>
        </w:tc>
      </w:tr>
      <w:tr>
        <w:tblPrEx>
          <w:tblLayout w:type="fixed"/>
          <w:tblCellMar>
            <w:top w:w="0" w:type="dxa"/>
            <w:left w:w="0" w:type="dxa"/>
            <w:bottom w:w="0" w:type="dxa"/>
            <w:right w:w="0" w:type="dxa"/>
          </w:tblCellMar>
        </w:tblPrEx>
        <w:trPr>
          <w:jc w:val="center"/>
        </w:trPr>
        <w:tc>
          <w:tcPr>
            <w:tcW w:w="11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jc w:val="center"/>
              <w:rPr>
                <w:rFonts w:hint="eastAsia" w:ascii="宋体" w:hAnsi="宋体" w:cs="宋体"/>
                <w:kern w:val="0"/>
                <w:szCs w:val="21"/>
                <w:highlight w:val="none"/>
              </w:rPr>
            </w:pPr>
            <w:r>
              <w:rPr>
                <w:rFonts w:hint="eastAsia" w:ascii="宋体" w:hAnsi="宋体" w:cs="宋体"/>
                <w:kern w:val="0"/>
                <w:szCs w:val="21"/>
                <w:highlight w:val="none"/>
              </w:rPr>
              <w:t>3.4.1</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ind w:hanging="8"/>
              <w:jc w:val="center"/>
              <w:rPr>
                <w:rFonts w:hint="eastAsia" w:ascii="宋体" w:hAnsi="宋体" w:cs="宋体"/>
                <w:kern w:val="0"/>
                <w:szCs w:val="21"/>
                <w:highlight w:val="none"/>
              </w:rPr>
            </w:pPr>
            <w:r>
              <w:rPr>
                <w:rFonts w:hint="eastAsia" w:ascii="宋体" w:hAnsi="宋体" w:cs="宋体"/>
                <w:kern w:val="0"/>
                <w:szCs w:val="21"/>
                <w:highlight w:val="none"/>
              </w:rPr>
              <w:t>投标</w:t>
            </w:r>
            <w:r>
              <w:rPr>
                <w:rFonts w:hint="eastAsia" w:ascii="宋体" w:hAnsi="宋体" w:cs="宋体"/>
                <w:spacing w:val="-2"/>
                <w:kern w:val="0"/>
                <w:szCs w:val="21"/>
                <w:highlight w:val="none"/>
              </w:rPr>
              <w:t>保</w:t>
            </w:r>
            <w:r>
              <w:rPr>
                <w:rFonts w:hint="eastAsia" w:ascii="宋体" w:hAnsi="宋体" w:cs="宋体"/>
                <w:kern w:val="0"/>
                <w:szCs w:val="21"/>
                <w:highlight w:val="none"/>
              </w:rPr>
              <w:t>证金</w:t>
            </w:r>
          </w:p>
        </w:tc>
        <w:tc>
          <w:tcPr>
            <w:tcW w:w="6458" w:type="dxa"/>
            <w:tcBorders>
              <w:top w:val="single" w:color="000000" w:sz="4" w:space="0"/>
              <w:left w:val="single" w:color="000000" w:sz="4" w:space="0"/>
              <w:bottom w:val="single" w:color="000000" w:sz="4" w:space="0"/>
              <w:right w:val="single" w:color="000000" w:sz="4" w:space="0"/>
            </w:tcBorders>
            <w:vAlign w:val="center"/>
          </w:tcPr>
          <w:p>
            <w:pPr>
              <w:snapToGrid w:val="0"/>
              <w:spacing w:afterLines="0" w:line="400" w:lineRule="exact"/>
              <w:ind w:firstLine="420" w:firstLineChars="200"/>
              <w:rPr>
                <w:rFonts w:hint="eastAsia" w:ascii="宋体" w:hAnsi="宋体" w:cs="宋体"/>
                <w:highlight w:val="none"/>
              </w:rPr>
            </w:pPr>
            <w:r>
              <w:rPr>
                <w:rFonts w:hint="eastAsia" w:ascii="宋体" w:hAnsi="宋体" w:cs="宋体"/>
                <w:highlight w:val="none"/>
              </w:rPr>
              <w:t>投标保证金的交纳方式：投标人可选择以下三种方式之一。</w:t>
            </w:r>
          </w:p>
          <w:p>
            <w:pPr>
              <w:snapToGrid w:val="0"/>
              <w:spacing w:afterLines="0" w:line="400" w:lineRule="exact"/>
              <w:ind w:firstLine="420" w:firstLineChars="200"/>
              <w:rPr>
                <w:rFonts w:hint="eastAsia" w:ascii="宋体" w:hAnsi="宋体" w:cs="宋体"/>
                <w:highlight w:val="none"/>
              </w:rPr>
            </w:pPr>
            <w:r>
              <w:rPr>
                <w:rFonts w:hint="eastAsia" w:ascii="宋体" w:hAnsi="宋体" w:cs="宋体"/>
                <w:highlight w:val="none"/>
              </w:rPr>
              <w:t>方式一</w:t>
            </w:r>
          </w:p>
          <w:p>
            <w:pPr>
              <w:snapToGrid w:val="0"/>
              <w:spacing w:afterLines="0" w:line="400" w:lineRule="exact"/>
              <w:ind w:firstLine="420" w:firstLineChars="200"/>
              <w:rPr>
                <w:rFonts w:hint="eastAsia" w:ascii="宋体" w:hAnsi="宋体" w:cs="宋体"/>
                <w:highlight w:val="none"/>
              </w:rPr>
            </w:pPr>
            <w:r>
              <w:rPr>
                <w:rFonts w:hint="eastAsia" w:ascii="宋体" w:hAnsi="宋体" w:cs="宋体"/>
                <w:highlight w:val="none"/>
              </w:rPr>
              <w:t>一、以电子投标保函形式交纳投标保证金</w:t>
            </w:r>
          </w:p>
          <w:p>
            <w:pPr>
              <w:snapToGrid w:val="0"/>
              <w:spacing w:afterLines="0" w:line="400" w:lineRule="exact"/>
              <w:ind w:firstLine="420" w:firstLineChars="200"/>
              <w:rPr>
                <w:rFonts w:hint="eastAsia" w:ascii="宋体" w:hAnsi="宋体" w:cs="宋体"/>
                <w:highlight w:val="none"/>
              </w:rPr>
            </w:pPr>
            <w:r>
              <w:rPr>
                <w:rFonts w:hint="eastAsia" w:ascii="宋体" w:hAnsi="宋体" w:cs="宋体"/>
                <w:highlight w:val="none"/>
              </w:rPr>
              <w:t>1. 电子投标保函交纳形式及要求：投标人在投标截止时间前通过重庆市公共资源交易金融服务平台电子投标保函系统向金融机构申请开具电子投标保函，电子投标保函应至少体现如下内容：①担保项目必须为本项目；②受益人必须为本项目招标人；③保函担保金额必须满足本项目要求；④保函生效时间必须在投标截止时间前，有效期限必须至少包含整个投标有效期；⑤保函须不可撤销且见索即付。</w:t>
            </w:r>
          </w:p>
          <w:p>
            <w:pPr>
              <w:snapToGrid w:val="0"/>
              <w:spacing w:afterLines="0" w:line="400" w:lineRule="exact"/>
              <w:ind w:firstLine="420" w:firstLineChars="200"/>
              <w:rPr>
                <w:rFonts w:hint="eastAsia" w:ascii="宋体" w:hAnsi="宋体" w:cs="宋体"/>
                <w:highlight w:val="none"/>
              </w:rPr>
            </w:pPr>
            <w:r>
              <w:rPr>
                <w:rFonts w:hint="eastAsia" w:ascii="宋体" w:hAnsi="宋体" w:cs="宋体"/>
                <w:highlight w:val="none"/>
              </w:rPr>
              <w:t>若投标截止时间延期，则电子投标保函提交的截止时间和投标截止时间应当保持一致。</w:t>
            </w:r>
          </w:p>
          <w:p>
            <w:pPr>
              <w:snapToGrid w:val="0"/>
              <w:spacing w:afterLines="0" w:line="400" w:lineRule="exact"/>
              <w:ind w:firstLine="420" w:firstLineChars="200"/>
              <w:rPr>
                <w:rFonts w:hint="eastAsia" w:ascii="宋体" w:hAnsi="宋体" w:cs="宋体"/>
                <w:highlight w:val="none"/>
              </w:rPr>
            </w:pPr>
            <w:r>
              <w:rPr>
                <w:rFonts w:hint="eastAsia" w:ascii="宋体" w:hAnsi="宋体" w:cs="宋体"/>
                <w:kern w:val="0"/>
                <w:szCs w:val="21"/>
                <w:highlight w:val="none"/>
              </w:rPr>
              <w:t>不满足上述要求的电子投标保函无效。</w:t>
            </w:r>
          </w:p>
          <w:p>
            <w:pPr>
              <w:snapToGrid w:val="0"/>
              <w:spacing w:afterLines="0" w:line="400" w:lineRule="exact"/>
              <w:ind w:firstLine="420" w:firstLineChars="200"/>
              <w:rPr>
                <w:rFonts w:hint="eastAsia" w:ascii="宋体" w:hAnsi="宋体" w:cs="宋体"/>
                <w:highlight w:val="none"/>
              </w:rPr>
            </w:pPr>
            <w:r>
              <w:rPr>
                <w:rFonts w:hint="eastAsia" w:ascii="宋体" w:hAnsi="宋体" w:cs="宋体"/>
                <w:highlight w:val="none"/>
              </w:rPr>
              <w:t>2. 以电子投标保函形式担保的投标保证金的金额：</w:t>
            </w:r>
            <w:r>
              <w:rPr>
                <w:rFonts w:hint="eastAsia" w:ascii="宋体" w:hAnsi="宋体" w:cs="宋体"/>
                <w:highlight w:val="none"/>
                <w:u w:val="single"/>
              </w:rPr>
              <w:t xml:space="preserve"> </w:t>
            </w:r>
            <w:r>
              <w:rPr>
                <w:rFonts w:hint="eastAsia" w:ascii="宋体" w:hAnsi="宋体" w:cs="宋体"/>
                <w:highlight w:val="none"/>
                <w:u w:val="single"/>
                <w:lang w:val="en-US" w:eastAsia="zh-CN"/>
              </w:rPr>
              <w:t>1</w:t>
            </w:r>
            <w:r>
              <w:rPr>
                <w:rFonts w:hint="eastAsia" w:ascii="宋体" w:hAnsi="宋体" w:cs="宋体"/>
                <w:highlight w:val="none"/>
                <w:u w:val="single"/>
              </w:rPr>
              <w:t xml:space="preserve"> </w:t>
            </w:r>
            <w:r>
              <w:rPr>
                <w:rFonts w:hint="eastAsia" w:ascii="宋体" w:hAnsi="宋体" w:cs="宋体"/>
                <w:highlight w:val="none"/>
              </w:rPr>
              <w:t>万元整（人民币）。</w:t>
            </w:r>
          </w:p>
          <w:p>
            <w:pPr>
              <w:spacing w:afterLines="0" w:line="400" w:lineRule="exact"/>
              <w:ind w:firstLine="420" w:firstLineChars="200"/>
              <w:rPr>
                <w:rFonts w:hint="eastAsia" w:ascii="宋体" w:hAnsi="宋体" w:cs="宋体"/>
                <w:highlight w:val="none"/>
              </w:rPr>
            </w:pPr>
            <w:r>
              <w:rPr>
                <w:rFonts w:hint="eastAsia" w:ascii="宋体" w:hAnsi="宋体" w:cs="宋体"/>
                <w:highlight w:val="none"/>
              </w:rPr>
              <w:t>3. 电子投标保函</w:t>
            </w:r>
          </w:p>
          <w:p>
            <w:pPr>
              <w:snapToGrid w:val="0"/>
              <w:spacing w:afterLines="0" w:line="400" w:lineRule="exact"/>
              <w:ind w:firstLine="420" w:firstLineChars="200"/>
              <w:rPr>
                <w:highlight w:val="none"/>
              </w:rPr>
            </w:pPr>
            <w:r>
              <w:rPr>
                <w:rFonts w:hint="eastAsia" w:ascii="宋体" w:hAnsi="宋体" w:cs="宋体"/>
                <w:highlight w:val="none"/>
              </w:rPr>
              <w:t>以</w:t>
            </w:r>
            <w:r>
              <w:rPr>
                <w:rFonts w:hint="eastAsia" w:ascii="宋体" w:hAnsi="宋体" w:cs="宋体"/>
                <w:highlight w:val="none"/>
                <w:u w:val="single"/>
              </w:rPr>
              <w:t>重庆市公共资源交易中心</w:t>
            </w:r>
            <w:r>
              <w:rPr>
                <w:rFonts w:hint="eastAsia" w:ascii="宋体" w:hAnsi="宋体" w:cs="宋体"/>
                <w:highlight w:val="none"/>
              </w:rPr>
              <w:t>开标现场展示的电子投标保函交纳情况为准，投标人在投标时无须再提供电子投标保函的相关资料。</w:t>
            </w:r>
          </w:p>
          <w:p>
            <w:pPr>
              <w:snapToGrid w:val="0"/>
              <w:spacing w:afterLines="0" w:line="400" w:lineRule="exact"/>
              <w:ind w:firstLine="420" w:firstLineChars="200"/>
              <w:rPr>
                <w:rFonts w:hint="eastAsia" w:ascii="宋体" w:hAnsi="宋体" w:cs="宋体"/>
                <w:highlight w:val="none"/>
              </w:rPr>
            </w:pPr>
            <w:r>
              <w:rPr>
                <w:rFonts w:hint="eastAsia" w:ascii="宋体" w:hAnsi="宋体" w:cs="宋体"/>
                <w:highlight w:val="none"/>
              </w:rPr>
              <w:t>二、电子投标保函的注销</w:t>
            </w:r>
          </w:p>
          <w:p>
            <w:pPr>
              <w:snapToGrid w:val="0"/>
              <w:spacing w:afterLines="0" w:line="400" w:lineRule="exact"/>
              <w:ind w:firstLine="420" w:firstLineChars="200"/>
              <w:rPr>
                <w:rFonts w:hint="eastAsia" w:ascii="宋体" w:hAnsi="宋体" w:cs="宋体"/>
                <w:highlight w:val="none"/>
              </w:rPr>
            </w:pPr>
            <w:r>
              <w:rPr>
                <w:rFonts w:hint="eastAsia" w:ascii="宋体" w:hAnsi="宋体" w:cs="宋体"/>
                <w:highlight w:val="none"/>
              </w:rPr>
              <w:t>招标人应当在法定时间内确定中标人。招标人应当在中标通知书发出后2个工作日内将中标通知书和电子投标保函退还通知抄告</w:t>
            </w:r>
            <w:r>
              <w:rPr>
                <w:rFonts w:hint="eastAsia" w:ascii="宋体" w:hAnsi="宋体" w:cs="宋体"/>
                <w:highlight w:val="none"/>
                <w:u w:val="single"/>
              </w:rPr>
              <w:t>重庆市公共资源交易中心</w:t>
            </w:r>
            <w:r>
              <w:rPr>
                <w:rFonts w:hint="eastAsia" w:ascii="宋体" w:hAnsi="宋体" w:cs="宋体"/>
                <w:highlight w:val="none"/>
                <w:lang w:eastAsia="zh-CN"/>
              </w:rPr>
              <w:t>，</w:t>
            </w:r>
            <w:r>
              <w:rPr>
                <w:rFonts w:hint="eastAsia" w:ascii="宋体" w:hAnsi="宋体" w:cs="宋体"/>
                <w:highlight w:val="none"/>
                <w:u w:val="single"/>
              </w:rPr>
              <w:t>重庆市公共资源交易中心</w:t>
            </w:r>
            <w:r>
              <w:rPr>
                <w:rFonts w:hint="eastAsia" w:ascii="宋体" w:hAnsi="宋体" w:cs="宋体"/>
                <w:highlight w:val="none"/>
              </w:rPr>
              <w:t>在收到电子投标保函退还通知后2个工作日内，将保函注销信息推送给重庆市公共资源交易金融服务平台，由保函出具机构注销除中标人和中标候选人以外的投标人电子投标保函。</w:t>
            </w:r>
          </w:p>
          <w:p>
            <w:pPr>
              <w:spacing w:afterLines="0" w:line="400" w:lineRule="exact"/>
              <w:ind w:firstLine="420" w:firstLineChars="200"/>
              <w:rPr>
                <w:rFonts w:hint="eastAsia" w:ascii="宋体" w:hAnsi="宋体" w:cs="宋体"/>
                <w:highlight w:val="none"/>
              </w:rPr>
            </w:pPr>
            <w:r>
              <w:rPr>
                <w:rFonts w:hint="eastAsia" w:ascii="宋体" w:hAnsi="宋体" w:cs="宋体"/>
                <w:highlight w:val="none"/>
              </w:rPr>
              <w:t>招标人应当在法定时间内和中标人签订合同。招标人应当在合同生效后2个工作日内将签订的合同和电子投标保函退还通知抄告</w:t>
            </w:r>
            <w:r>
              <w:rPr>
                <w:rFonts w:hint="eastAsia" w:ascii="宋体" w:hAnsi="宋体" w:cs="宋体"/>
                <w:highlight w:val="none"/>
                <w:u w:val="single"/>
              </w:rPr>
              <w:t>重庆市公共资源交易中心</w:t>
            </w:r>
            <w:r>
              <w:rPr>
                <w:rFonts w:hint="eastAsia" w:ascii="宋体" w:hAnsi="宋体" w:cs="宋体"/>
                <w:highlight w:val="none"/>
                <w:lang w:eastAsia="zh-CN"/>
              </w:rPr>
              <w:t>，</w:t>
            </w:r>
            <w:r>
              <w:rPr>
                <w:rFonts w:hint="eastAsia" w:ascii="宋体" w:hAnsi="宋体" w:cs="宋体"/>
                <w:highlight w:val="none"/>
                <w:u w:val="single"/>
              </w:rPr>
              <w:t>重庆市公共资源交易中心</w:t>
            </w:r>
            <w:r>
              <w:rPr>
                <w:rFonts w:hint="eastAsia" w:ascii="宋体" w:hAnsi="宋体" w:cs="宋体"/>
                <w:highlight w:val="none"/>
              </w:rPr>
              <w:t>在收到电子投标保函退还通知后2个工作日内，将保函注销信息推送给重庆市公共资源交易金融服务平台，由保函出具机构注销中标人和中标候选人的电子投标保函。</w:t>
            </w:r>
          </w:p>
          <w:p>
            <w:pPr>
              <w:snapToGrid w:val="0"/>
              <w:spacing w:afterLines="0" w:line="400" w:lineRule="exact"/>
              <w:ind w:firstLine="420" w:firstLineChars="200"/>
              <w:rPr>
                <w:rFonts w:hint="eastAsia" w:ascii="宋体" w:hAnsi="宋体" w:cs="宋体"/>
                <w:highlight w:val="none"/>
              </w:rPr>
            </w:pPr>
          </w:p>
          <w:p>
            <w:pPr>
              <w:snapToGrid w:val="0"/>
              <w:spacing w:afterLines="0" w:line="400" w:lineRule="exact"/>
              <w:ind w:firstLine="420" w:firstLineChars="200"/>
              <w:rPr>
                <w:rFonts w:hint="eastAsia" w:ascii="宋体" w:hAnsi="宋体" w:cs="宋体"/>
                <w:highlight w:val="none"/>
              </w:rPr>
            </w:pPr>
            <w:r>
              <w:rPr>
                <w:rFonts w:hint="eastAsia" w:ascii="宋体" w:hAnsi="宋体" w:cs="宋体"/>
                <w:highlight w:val="none"/>
              </w:rPr>
              <w:t>方式二</w:t>
            </w:r>
          </w:p>
          <w:p>
            <w:pPr>
              <w:snapToGrid w:val="0"/>
              <w:spacing w:afterLines="0" w:line="400" w:lineRule="exact"/>
              <w:ind w:firstLine="420" w:firstLineChars="200"/>
              <w:rPr>
                <w:rFonts w:hint="eastAsia" w:ascii="宋体" w:hAnsi="宋体" w:cs="宋体"/>
                <w:highlight w:val="none"/>
              </w:rPr>
            </w:pPr>
            <w:r>
              <w:rPr>
                <w:rFonts w:hint="eastAsia" w:ascii="宋体" w:hAnsi="宋体" w:cs="宋体"/>
                <w:highlight w:val="none"/>
              </w:rPr>
              <w:t>一、以转账支票或电汇形式交纳投标保证金</w:t>
            </w:r>
          </w:p>
          <w:p>
            <w:pPr>
              <w:snapToGrid w:val="0"/>
              <w:spacing w:afterLines="0" w:line="400" w:lineRule="exact"/>
              <w:ind w:firstLine="420" w:firstLineChars="200"/>
              <w:rPr>
                <w:rFonts w:hint="eastAsia" w:ascii="宋体" w:hAnsi="宋体" w:cs="宋体"/>
                <w:highlight w:val="none"/>
              </w:rPr>
            </w:pPr>
            <w:r>
              <w:rPr>
                <w:rFonts w:hint="eastAsia" w:ascii="宋体" w:hAnsi="宋体" w:cs="宋体"/>
                <w:highlight w:val="none"/>
              </w:rPr>
              <w:t>1. 投标保证金交款形式及要求：投标人从企业的基本账户（开户行）在投标截止时间前通过转账支票直接划付或以电汇方式直接划付至下面指定的投标保证金账户。若投标截止时间延期，则投标保证金提交的截止时间和投标截止时间应当保持一致。</w:t>
            </w:r>
            <w:r>
              <w:rPr>
                <w:rFonts w:hint="eastAsia" w:ascii="宋体" w:hAnsi="宋体" w:cs="宋体"/>
                <w:kern w:val="0"/>
                <w:szCs w:val="21"/>
                <w:highlight w:val="none"/>
              </w:rPr>
              <w:t>不满足上述要求的投标保证金无效。</w:t>
            </w:r>
          </w:p>
          <w:p>
            <w:pPr>
              <w:snapToGrid w:val="0"/>
              <w:spacing w:afterLines="0" w:line="400" w:lineRule="exact"/>
              <w:ind w:firstLine="420" w:firstLineChars="200"/>
              <w:rPr>
                <w:rFonts w:hint="eastAsia" w:ascii="宋体" w:hAnsi="宋体" w:cs="宋体"/>
                <w:highlight w:val="none"/>
              </w:rPr>
            </w:pPr>
            <w:r>
              <w:rPr>
                <w:rFonts w:hint="eastAsia" w:ascii="宋体" w:hAnsi="宋体" w:cs="宋体"/>
                <w:highlight w:val="none"/>
              </w:rPr>
              <w:t>投标人自行考虑汇入时间风险，如同城汇入、异地汇入、跨行汇入的时间要求。</w:t>
            </w:r>
          </w:p>
          <w:p>
            <w:pPr>
              <w:numPr>
                <w:ilvl w:val="0"/>
                <w:numId w:val="1"/>
              </w:numPr>
              <w:snapToGrid w:val="0"/>
              <w:spacing w:afterLines="0" w:line="400" w:lineRule="exact"/>
              <w:ind w:firstLine="420" w:firstLineChars="200"/>
              <w:rPr>
                <w:rFonts w:hint="eastAsia" w:ascii="宋体" w:hAnsi="宋体" w:cs="宋体"/>
                <w:highlight w:val="none"/>
              </w:rPr>
            </w:pPr>
            <w:r>
              <w:rPr>
                <w:rFonts w:hint="eastAsia" w:ascii="宋体" w:hAnsi="宋体" w:cs="宋体"/>
                <w:highlight w:val="none"/>
              </w:rPr>
              <w:t>以转账支票或电汇形式提交投标保证金的金额：</w:t>
            </w:r>
            <w:r>
              <w:rPr>
                <w:rFonts w:hint="eastAsia" w:ascii="宋体" w:hAnsi="宋体" w:cs="宋体"/>
                <w:highlight w:val="none"/>
                <w:u w:val="single"/>
              </w:rPr>
              <w:t xml:space="preserve"> </w:t>
            </w:r>
            <w:r>
              <w:rPr>
                <w:rFonts w:hint="eastAsia" w:ascii="宋体" w:hAnsi="宋体" w:cs="宋体"/>
                <w:highlight w:val="none"/>
                <w:u w:val="single"/>
                <w:lang w:val="en-US" w:eastAsia="zh-CN"/>
              </w:rPr>
              <w:t>1</w:t>
            </w:r>
            <w:r>
              <w:rPr>
                <w:rFonts w:hint="eastAsia" w:ascii="宋体" w:hAnsi="宋体" w:cs="宋体"/>
                <w:highlight w:val="none"/>
                <w:u w:val="single"/>
              </w:rPr>
              <w:t xml:space="preserve"> </w:t>
            </w:r>
            <w:r>
              <w:rPr>
                <w:rFonts w:hint="eastAsia" w:ascii="宋体" w:hAnsi="宋体" w:cs="宋体"/>
                <w:highlight w:val="none"/>
              </w:rPr>
              <w:t>万元整（人民币）。</w:t>
            </w:r>
          </w:p>
          <w:p>
            <w:pPr>
              <w:snapToGrid w:val="0"/>
              <w:spacing w:afterLines="0" w:line="400" w:lineRule="exact"/>
              <w:ind w:firstLine="420" w:firstLineChars="200"/>
              <w:rPr>
                <w:rFonts w:hint="eastAsia" w:ascii="宋体" w:hAnsi="宋体" w:cs="宋体"/>
                <w:highlight w:val="none"/>
              </w:rPr>
            </w:pPr>
            <w:r>
              <w:rPr>
                <w:rFonts w:hint="eastAsia" w:ascii="宋体" w:hAnsi="宋体" w:cs="宋体"/>
                <w:highlight w:val="none"/>
              </w:rPr>
              <w:t>3.投标保证金账户及账号（任选其一）：</w:t>
            </w:r>
          </w:p>
          <w:p>
            <w:pPr>
              <w:snapToGrid w:val="0"/>
              <w:spacing w:afterLines="0" w:line="400" w:lineRule="exact"/>
              <w:ind w:firstLine="420" w:firstLineChars="200"/>
              <w:rPr>
                <w:rFonts w:hint="eastAsia" w:ascii="宋体" w:hAnsi="宋体" w:cs="宋体"/>
                <w:highlight w:val="none"/>
              </w:rPr>
            </w:pPr>
            <w:r>
              <w:rPr>
                <w:rFonts w:hint="eastAsia" w:ascii="宋体" w:hAnsi="宋体" w:cs="宋体"/>
                <w:highlight w:val="none"/>
              </w:rPr>
              <w:t>详见</w:t>
            </w:r>
            <w:r>
              <w:rPr>
                <w:rFonts w:hint="eastAsia" w:ascii="宋体" w:hAnsi="宋体" w:cs="宋体"/>
                <w:highlight w:val="none"/>
                <w:u w:val="single"/>
              </w:rPr>
              <w:t>重庆市公共资源交易网（www.cqggzy.com）</w:t>
            </w:r>
            <w:r>
              <w:rPr>
                <w:rFonts w:hint="eastAsia" w:ascii="宋体" w:hAnsi="宋体" w:cs="宋体"/>
                <w:highlight w:val="none"/>
              </w:rPr>
              <w:t>对应本项目招标公告信息栏中的保证金信息。</w:t>
            </w:r>
          </w:p>
          <w:p>
            <w:pPr>
              <w:snapToGrid w:val="0"/>
              <w:spacing w:afterLines="0" w:line="400" w:lineRule="exact"/>
              <w:ind w:firstLine="420" w:firstLineChars="200"/>
              <w:rPr>
                <w:rFonts w:hint="eastAsia" w:ascii="宋体" w:hAnsi="宋体" w:cs="宋体"/>
                <w:highlight w:val="none"/>
              </w:rPr>
            </w:pPr>
            <w:r>
              <w:rPr>
                <w:rFonts w:hint="eastAsia" w:ascii="宋体" w:hAnsi="宋体" w:cs="宋体"/>
                <w:highlight w:val="none"/>
              </w:rPr>
              <w:t>投标保证金以</w:t>
            </w:r>
            <w:r>
              <w:rPr>
                <w:rFonts w:hint="eastAsia" w:ascii="宋体" w:hAnsi="宋体" w:cs="宋体"/>
                <w:highlight w:val="none"/>
                <w:u w:val="single"/>
              </w:rPr>
              <w:t>重庆市公共资源交易中心</w:t>
            </w:r>
            <w:r>
              <w:rPr>
                <w:rFonts w:hint="eastAsia" w:ascii="宋体" w:hAnsi="宋体" w:cs="宋体"/>
                <w:highlight w:val="none"/>
              </w:rPr>
              <w:t>开标现场展示的保证金交纳情况为准。投标人须在投标文件</w:t>
            </w:r>
            <w:r>
              <w:rPr>
                <w:rFonts w:hint="eastAsia" w:ascii="宋体" w:hAnsi="宋体" w:cs="宋体"/>
                <w:kern w:val="0"/>
                <w:szCs w:val="21"/>
                <w:highlight w:val="none"/>
              </w:rPr>
              <w:t>中</w:t>
            </w:r>
            <w:r>
              <w:rPr>
                <w:rFonts w:hint="eastAsia" w:ascii="宋体" w:hAnsi="宋体" w:cs="宋体"/>
                <w:highlight w:val="none"/>
              </w:rPr>
              <w:t>提供企业基本账户开户证明文件。</w:t>
            </w:r>
          </w:p>
          <w:p>
            <w:pPr>
              <w:snapToGrid w:val="0"/>
              <w:spacing w:afterLines="0" w:line="400" w:lineRule="exact"/>
              <w:ind w:firstLine="420" w:firstLineChars="200"/>
              <w:rPr>
                <w:rFonts w:hint="eastAsia" w:ascii="宋体" w:hAnsi="宋体" w:cs="宋体"/>
                <w:highlight w:val="none"/>
                <w:u w:val="single"/>
              </w:rPr>
            </w:pPr>
            <w:r>
              <w:rPr>
                <w:rFonts w:hint="eastAsia" w:ascii="宋体" w:hAnsi="宋体" w:cs="宋体"/>
                <w:highlight w:val="none"/>
              </w:rPr>
              <w:t>4. 投标人必须在付款凭证备注栏中注明是“</w:t>
            </w:r>
            <w:r>
              <w:rPr>
                <w:rFonts w:hint="eastAsia" w:ascii="宋体" w:hAnsi="宋体" w:cs="宋体"/>
                <w:snapToGrid w:val="0"/>
                <w:kern w:val="0"/>
                <w:szCs w:val="21"/>
                <w:highlight w:val="none"/>
                <w:u w:val="single"/>
              </w:rPr>
              <w:t>重庆新机场</w:t>
            </w:r>
            <w:r>
              <w:rPr>
                <w:rFonts w:hint="eastAsia" w:ascii="宋体" w:hAnsi="宋体" w:cs="宋体"/>
                <w:snapToGrid w:val="0"/>
                <w:kern w:val="0"/>
                <w:szCs w:val="21"/>
                <w:highlight w:val="none"/>
                <w:u w:val="single"/>
                <w:lang w:eastAsia="zh-CN"/>
              </w:rPr>
              <w:t>防洪专项研究</w:t>
            </w:r>
            <w:r>
              <w:rPr>
                <w:rFonts w:hint="eastAsia" w:ascii="宋体" w:hAnsi="宋体" w:cs="宋体"/>
                <w:highlight w:val="none"/>
              </w:rPr>
              <w:t>项目投标保证金”。项目名称可简写成：</w:t>
            </w:r>
            <w:r>
              <w:rPr>
                <w:rFonts w:hint="eastAsia" w:ascii="宋体" w:hAnsi="宋体" w:cs="宋体"/>
                <w:b/>
                <w:bCs/>
                <w:snapToGrid w:val="0"/>
                <w:kern w:val="0"/>
                <w:szCs w:val="21"/>
                <w:highlight w:val="none"/>
                <w:u w:val="single"/>
                <w:lang w:eastAsia="zh-CN"/>
              </w:rPr>
              <w:t>重庆</w:t>
            </w:r>
            <w:r>
              <w:rPr>
                <w:rFonts w:hint="eastAsia" w:ascii="宋体" w:hAnsi="宋体" w:cs="宋体"/>
                <w:b/>
                <w:bCs/>
                <w:snapToGrid w:val="0"/>
                <w:kern w:val="0"/>
                <w:szCs w:val="21"/>
                <w:highlight w:val="none"/>
                <w:u w:val="single"/>
              </w:rPr>
              <w:t>新机场</w:t>
            </w:r>
            <w:r>
              <w:rPr>
                <w:rFonts w:hint="eastAsia" w:ascii="宋体" w:hAnsi="宋体" w:cs="宋体"/>
                <w:b/>
                <w:bCs/>
                <w:snapToGrid w:val="0"/>
                <w:kern w:val="0"/>
                <w:szCs w:val="21"/>
                <w:highlight w:val="none"/>
                <w:u w:val="single"/>
                <w:lang w:eastAsia="zh-CN"/>
              </w:rPr>
              <w:t>防洪研究</w:t>
            </w:r>
            <w:r>
              <w:rPr>
                <w:rFonts w:hint="eastAsia" w:ascii="宋体" w:hAnsi="宋体" w:cs="宋体"/>
                <w:highlight w:val="none"/>
              </w:rPr>
              <w:t>。</w:t>
            </w:r>
          </w:p>
          <w:p>
            <w:pPr>
              <w:snapToGrid w:val="0"/>
              <w:spacing w:afterLines="0" w:line="400" w:lineRule="exact"/>
              <w:ind w:firstLine="420" w:firstLineChars="200"/>
              <w:rPr>
                <w:rFonts w:hint="eastAsia" w:ascii="宋体" w:hAnsi="宋体" w:cs="宋体"/>
                <w:highlight w:val="none"/>
              </w:rPr>
            </w:pPr>
            <w:r>
              <w:rPr>
                <w:rFonts w:hint="eastAsia" w:ascii="宋体" w:hAnsi="宋体" w:cs="宋体"/>
                <w:highlight w:val="none"/>
              </w:rPr>
              <w:t>5. 投标保证金有效期与投标有效期一致。</w:t>
            </w:r>
          </w:p>
          <w:p>
            <w:pPr>
              <w:snapToGrid w:val="0"/>
              <w:spacing w:afterLines="0" w:line="400" w:lineRule="exact"/>
              <w:ind w:firstLine="420" w:firstLineChars="200"/>
              <w:rPr>
                <w:rFonts w:hint="eastAsia" w:eastAsia="宋体"/>
                <w:highlight w:val="none"/>
                <w:lang w:eastAsia="zh-CN"/>
              </w:rPr>
            </w:pPr>
            <w:r>
              <w:rPr>
                <w:rFonts w:hint="eastAsia" w:ascii="宋体" w:hAnsi="宋体" w:cs="宋体"/>
                <w:highlight w:val="none"/>
              </w:rPr>
              <w:t>6. 根据重庆市公共资源交易中心《关于开展公共资源交易市场主体信息登记工作的公告》的要求，投标人在开标前需在重庆市公共资源交易网（www.cqggzy.com）办理市场主体信息登记手续。因故未能提前办理市场主体信息登记或更新的，评标过程中由评标委员会根据投标人在投标文件中提供的企业基本账户开户证明文件核实其投标保证金是否由基本账户转入，未从基本账户转入的，由评标委员会作否决投标处理。</w:t>
            </w:r>
          </w:p>
          <w:p>
            <w:pPr>
              <w:snapToGrid w:val="0"/>
              <w:spacing w:afterLines="0" w:line="400" w:lineRule="exact"/>
              <w:ind w:firstLine="420" w:firstLineChars="200"/>
              <w:rPr>
                <w:rFonts w:hint="eastAsia" w:ascii="宋体" w:hAnsi="宋体" w:cs="宋体"/>
                <w:highlight w:val="none"/>
              </w:rPr>
            </w:pPr>
            <w:r>
              <w:rPr>
                <w:rFonts w:hint="eastAsia" w:ascii="宋体" w:hAnsi="宋体" w:cs="宋体"/>
                <w:highlight w:val="none"/>
              </w:rPr>
              <w:t>二、投标保证金的退还</w:t>
            </w:r>
          </w:p>
          <w:p>
            <w:pPr>
              <w:snapToGrid w:val="0"/>
              <w:spacing w:afterLines="0" w:line="400" w:lineRule="exact"/>
              <w:ind w:firstLine="420" w:firstLineChars="200"/>
              <w:rPr>
                <w:rFonts w:hint="eastAsia" w:ascii="宋体" w:hAnsi="宋体" w:cs="宋体"/>
                <w:highlight w:val="none"/>
              </w:rPr>
            </w:pPr>
            <w:r>
              <w:rPr>
                <w:rFonts w:hint="eastAsia" w:ascii="宋体" w:hAnsi="宋体" w:cs="宋体"/>
                <w:highlight w:val="none"/>
              </w:rPr>
              <w:t>招标人应当在法定时间内确定中标人。招标人应当在中标通知书发出后2个工作日内将中标通知书和保证金退还通知抄告</w:t>
            </w:r>
            <w:r>
              <w:rPr>
                <w:rFonts w:hint="eastAsia" w:ascii="宋体" w:hAnsi="宋体" w:cs="宋体"/>
                <w:highlight w:val="none"/>
                <w:u w:val="single"/>
              </w:rPr>
              <w:t>重庆市公共资源交易中心</w:t>
            </w:r>
            <w:r>
              <w:rPr>
                <w:rFonts w:hint="eastAsia" w:ascii="宋体" w:hAnsi="宋体" w:cs="宋体"/>
                <w:highlight w:val="none"/>
              </w:rPr>
              <w:t>，</w:t>
            </w:r>
            <w:r>
              <w:rPr>
                <w:rFonts w:hint="eastAsia" w:ascii="宋体" w:hAnsi="宋体" w:cs="宋体"/>
                <w:highlight w:val="none"/>
                <w:u w:val="single"/>
              </w:rPr>
              <w:t>重庆市公共资源交易中心</w:t>
            </w:r>
            <w:r>
              <w:rPr>
                <w:rFonts w:hint="eastAsia" w:ascii="宋体" w:hAnsi="宋体" w:cs="宋体"/>
                <w:highlight w:val="none"/>
              </w:rPr>
              <w:t>在收到保证金退还通知后2个工作日内，向除中标人和中标候选人以外的投标人，退还投标保证金及银行同期活期存款利息。</w:t>
            </w:r>
          </w:p>
          <w:p>
            <w:pPr>
              <w:snapToGrid w:val="0"/>
              <w:spacing w:afterLines="0" w:line="400" w:lineRule="exact"/>
              <w:ind w:firstLine="420" w:firstLineChars="200"/>
              <w:rPr>
                <w:rFonts w:hint="eastAsia" w:ascii="宋体" w:hAnsi="宋体" w:cs="宋体"/>
                <w:highlight w:val="none"/>
              </w:rPr>
            </w:pPr>
            <w:r>
              <w:rPr>
                <w:rFonts w:hint="eastAsia" w:ascii="宋体" w:hAnsi="宋体" w:cs="宋体"/>
                <w:highlight w:val="none"/>
              </w:rPr>
              <w:t>招标人应当在法定时间内和中标人签订合同。招标人应当在合同生效后2个工作日内将签订的合同和保证金退还通知抄告</w:t>
            </w:r>
            <w:r>
              <w:rPr>
                <w:rFonts w:hint="eastAsia" w:ascii="宋体" w:hAnsi="宋体" w:cs="宋体"/>
                <w:highlight w:val="none"/>
                <w:u w:val="single"/>
              </w:rPr>
              <w:t>重庆市公共资源交易中心</w:t>
            </w:r>
            <w:r>
              <w:rPr>
                <w:rFonts w:hint="eastAsia" w:ascii="宋体" w:hAnsi="宋体" w:cs="宋体"/>
                <w:highlight w:val="none"/>
              </w:rPr>
              <w:t>，</w:t>
            </w:r>
            <w:r>
              <w:rPr>
                <w:rFonts w:hint="eastAsia" w:ascii="宋体" w:hAnsi="宋体" w:cs="宋体"/>
                <w:highlight w:val="none"/>
                <w:u w:val="single"/>
              </w:rPr>
              <w:t>重庆市公共资源交易中心</w:t>
            </w:r>
            <w:r>
              <w:rPr>
                <w:rFonts w:hint="eastAsia" w:ascii="宋体" w:hAnsi="宋体" w:cs="宋体"/>
                <w:highlight w:val="none"/>
              </w:rPr>
              <w:t>在收到保证金退还通知后2个工作日内，向中标人和中标候选人退还投标保证金及银行同期活期存款利息。</w:t>
            </w:r>
          </w:p>
          <w:p>
            <w:pPr>
              <w:snapToGrid w:val="0"/>
              <w:spacing w:afterLines="0" w:line="400" w:lineRule="exact"/>
              <w:ind w:firstLine="420" w:firstLineChars="200"/>
              <w:jc w:val="left"/>
              <w:rPr>
                <w:rFonts w:hint="eastAsia" w:ascii="宋体" w:hAnsi="宋体" w:cs="宋体"/>
                <w:kern w:val="0"/>
                <w:szCs w:val="21"/>
                <w:highlight w:val="none"/>
              </w:rPr>
            </w:pPr>
            <w:r>
              <w:rPr>
                <w:rFonts w:hint="eastAsia" w:ascii="宋体" w:hAnsi="宋体" w:cs="宋体"/>
                <w:highlight w:val="none"/>
              </w:rPr>
              <w:t>投标保证金专用账户由</w:t>
            </w:r>
            <w:r>
              <w:rPr>
                <w:rFonts w:hint="eastAsia" w:ascii="宋体" w:hAnsi="宋体" w:cs="宋体"/>
                <w:highlight w:val="none"/>
                <w:u w:val="single"/>
              </w:rPr>
              <w:t>重庆市公共资源交易中心</w:t>
            </w:r>
            <w:r>
              <w:rPr>
                <w:rFonts w:hint="eastAsia" w:ascii="宋体" w:hAnsi="宋体" w:cs="宋体"/>
                <w:highlight w:val="none"/>
              </w:rPr>
              <w:t>制定，关于保证金相关情况的问题请咨询</w:t>
            </w:r>
            <w:r>
              <w:rPr>
                <w:rFonts w:hint="eastAsia" w:ascii="宋体" w:hAnsi="宋体" w:cs="宋体"/>
                <w:highlight w:val="none"/>
                <w:u w:val="single"/>
              </w:rPr>
              <w:t>重庆市公共资源交易中心</w:t>
            </w:r>
            <w:r>
              <w:rPr>
                <w:rFonts w:hint="eastAsia" w:ascii="宋体" w:hAnsi="宋体" w:cs="宋体"/>
                <w:highlight w:val="none"/>
              </w:rPr>
              <w:t>，联系电话</w:t>
            </w:r>
            <w:r>
              <w:rPr>
                <w:rFonts w:hint="eastAsia" w:ascii="宋体" w:hAnsi="宋体" w:cs="宋体"/>
                <w:highlight w:val="none"/>
                <w:lang w:eastAsia="zh-CN"/>
              </w:rPr>
              <w:t>：</w:t>
            </w:r>
            <w:r>
              <w:rPr>
                <w:rFonts w:hint="eastAsia" w:ascii="宋体" w:hAnsi="宋体" w:cs="宋体"/>
                <w:kern w:val="0"/>
                <w:szCs w:val="21"/>
                <w:highlight w:val="none"/>
              </w:rPr>
              <w:t>023-63626436。</w:t>
            </w:r>
          </w:p>
          <w:p>
            <w:pPr>
              <w:snapToGrid w:val="0"/>
              <w:spacing w:afterLines="0" w:line="400" w:lineRule="exact"/>
              <w:ind w:firstLine="420" w:firstLineChars="200"/>
              <w:jc w:val="left"/>
              <w:rPr>
                <w:rFonts w:hint="eastAsia" w:ascii="宋体" w:hAnsi="宋体" w:cs="宋体"/>
                <w:kern w:val="0"/>
                <w:szCs w:val="21"/>
                <w:highlight w:val="none"/>
              </w:rPr>
            </w:pPr>
          </w:p>
          <w:p>
            <w:pPr>
              <w:adjustRightInd w:val="0"/>
              <w:snapToGrid w:val="0"/>
              <w:spacing w:afterLines="0" w:line="400" w:lineRule="exact"/>
              <w:ind w:firstLine="420" w:firstLineChars="200"/>
              <w:rPr>
                <w:rFonts w:hint="eastAsia" w:ascii="宋体" w:hAnsi="宋体" w:cs="宋体"/>
                <w:bCs/>
                <w:kern w:val="0"/>
                <w:szCs w:val="21"/>
                <w:highlight w:val="none"/>
              </w:rPr>
            </w:pPr>
            <w:r>
              <w:rPr>
                <w:rFonts w:hint="eastAsia" w:ascii="宋体" w:hAnsi="宋体" w:cs="宋体"/>
                <w:bCs/>
                <w:kern w:val="0"/>
                <w:szCs w:val="21"/>
                <w:highlight w:val="none"/>
              </w:rPr>
              <w:t>方式三</w:t>
            </w:r>
          </w:p>
          <w:p>
            <w:pPr>
              <w:adjustRightInd w:val="0"/>
              <w:snapToGrid w:val="0"/>
              <w:spacing w:afterLines="0"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一、以纸质投标保函形式交纳投标保证金</w:t>
            </w:r>
          </w:p>
          <w:p>
            <w:pPr>
              <w:adjustRightInd w:val="0"/>
              <w:snapToGrid w:val="0"/>
              <w:spacing w:afterLines="0"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1. 纸质投标保函交纳形式及要求：</w:t>
            </w:r>
          </w:p>
          <w:p>
            <w:pPr>
              <w:adjustRightInd w:val="0"/>
              <w:snapToGrid w:val="0"/>
              <w:spacing w:afterLines="0"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（1）缴纳形式：投标人提供</w:t>
            </w:r>
            <w:r>
              <w:rPr>
                <w:rFonts w:hint="eastAsia" w:ascii="宋体" w:hAnsi="宋体" w:cs="宋体"/>
                <w:highlight w:val="none"/>
              </w:rPr>
              <w:t>不可撤销且见索即付</w:t>
            </w:r>
            <w:r>
              <w:rPr>
                <w:rFonts w:hint="eastAsia" w:ascii="宋体" w:hAnsi="宋体" w:cs="宋体"/>
                <w:kern w:val="0"/>
                <w:szCs w:val="21"/>
                <w:highlight w:val="none"/>
              </w:rPr>
              <w:t>的银行保函；</w:t>
            </w:r>
          </w:p>
          <w:p>
            <w:pPr>
              <w:adjustRightInd w:val="0"/>
              <w:snapToGrid w:val="0"/>
              <w:spacing w:afterLines="0"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（2）具体要求：</w:t>
            </w:r>
            <w:r>
              <w:rPr>
                <w:rFonts w:hint="eastAsia" w:ascii="宋体" w:hAnsi="宋体" w:cs="宋体"/>
                <w:highlight w:val="none"/>
              </w:rPr>
              <w:t>投标人须在投标文件</w:t>
            </w:r>
            <w:r>
              <w:rPr>
                <w:rFonts w:hint="eastAsia" w:ascii="宋体" w:hAnsi="宋体" w:cs="宋体"/>
                <w:kern w:val="0"/>
                <w:szCs w:val="21"/>
                <w:highlight w:val="none"/>
              </w:rPr>
              <w:t>中提供银行开具的纸质投标保函正本扫描件，纸质投标保函正本原件应当于投标截止时间前在开标现场递交招标人保管。纸质投标保函应至少体现如下内容：①担保项目必须为本项目；②受益人必须为本项目招标人；③保函担保金额必须满足本项目要求；④保函生效时间必须在投标截止时间前，有效期限必须至少包含整个投标有效期；⑤保函须不可撤销且见索即付。</w:t>
            </w:r>
          </w:p>
          <w:p>
            <w:pPr>
              <w:adjustRightInd w:val="0"/>
              <w:snapToGrid w:val="0"/>
              <w:spacing w:afterLines="0" w:line="400" w:lineRule="exact"/>
              <w:ind w:firstLine="420" w:firstLineChars="200"/>
              <w:rPr>
                <w:rFonts w:hint="eastAsia" w:ascii="宋体" w:hAnsi="宋体" w:cs="宋体"/>
                <w:highlight w:val="none"/>
              </w:rPr>
            </w:pPr>
            <w:r>
              <w:rPr>
                <w:rFonts w:hint="eastAsia" w:ascii="宋体" w:hAnsi="宋体" w:cs="宋体"/>
                <w:highlight w:val="none"/>
              </w:rPr>
              <w:t>若投标截止时间延期，则纸质投标保函递交的截止时间和投标截止时间保持一致。</w:t>
            </w:r>
          </w:p>
          <w:p>
            <w:pPr>
              <w:adjustRightInd w:val="0"/>
              <w:snapToGrid w:val="0"/>
              <w:spacing w:afterLines="0" w:line="400" w:lineRule="exact"/>
              <w:ind w:firstLine="420" w:firstLineChars="200"/>
              <w:rPr>
                <w:rFonts w:hint="eastAsia" w:ascii="宋体" w:hAnsi="宋体" w:cs="宋体"/>
                <w:highlight w:val="none"/>
              </w:rPr>
            </w:pPr>
            <w:r>
              <w:rPr>
                <w:rFonts w:hint="eastAsia" w:ascii="宋体" w:hAnsi="宋体" w:cs="宋体"/>
                <w:kern w:val="0"/>
                <w:szCs w:val="21"/>
                <w:highlight w:val="none"/>
              </w:rPr>
              <w:t>不满足上述要求的纸质投标保函无效。</w:t>
            </w:r>
          </w:p>
          <w:p>
            <w:pPr>
              <w:adjustRightInd w:val="0"/>
              <w:snapToGrid w:val="0"/>
              <w:spacing w:afterLines="0" w:line="400" w:lineRule="exact"/>
              <w:ind w:firstLine="420" w:firstLineChars="200"/>
              <w:rPr>
                <w:rFonts w:hint="eastAsia" w:ascii="宋体" w:hAnsi="宋体" w:cs="宋体"/>
                <w:highlight w:val="yellow"/>
              </w:rPr>
            </w:pPr>
            <w:r>
              <w:rPr>
                <w:rFonts w:hint="eastAsia" w:ascii="宋体" w:hAnsi="宋体" w:cs="宋体"/>
                <w:kern w:val="0"/>
                <w:szCs w:val="21"/>
                <w:highlight w:val="none"/>
              </w:rPr>
              <w:t xml:space="preserve">2. </w:t>
            </w:r>
            <w:r>
              <w:rPr>
                <w:rFonts w:hint="eastAsia" w:ascii="宋体" w:hAnsi="宋体" w:cs="宋体"/>
                <w:highlight w:val="none"/>
              </w:rPr>
              <w:t>以纸质投标保函形式担保的投标保证金的金额</w:t>
            </w:r>
            <w:r>
              <w:rPr>
                <w:rFonts w:hint="eastAsia" w:ascii="宋体" w:hAnsi="宋体" w:cs="宋体"/>
                <w:kern w:val="0"/>
                <w:szCs w:val="21"/>
                <w:highlight w:val="none"/>
              </w:rPr>
              <w:t>：</w:t>
            </w:r>
            <w:r>
              <w:rPr>
                <w:rFonts w:hint="eastAsia" w:ascii="宋体" w:hAnsi="宋体" w:cs="宋体"/>
                <w:highlight w:val="none"/>
                <w:u w:val="single"/>
              </w:rPr>
              <w:t xml:space="preserve"> </w:t>
            </w:r>
            <w:r>
              <w:rPr>
                <w:rFonts w:hint="eastAsia" w:ascii="宋体" w:hAnsi="宋体" w:cs="宋体"/>
                <w:highlight w:val="none"/>
                <w:u w:val="single"/>
                <w:lang w:val="en-US" w:eastAsia="zh-CN"/>
              </w:rPr>
              <w:t>1</w:t>
            </w:r>
            <w:r>
              <w:rPr>
                <w:rFonts w:hint="eastAsia" w:ascii="宋体" w:hAnsi="宋体" w:cs="宋体"/>
                <w:highlight w:val="none"/>
                <w:u w:val="single"/>
              </w:rPr>
              <w:t xml:space="preserve"> </w:t>
            </w:r>
            <w:r>
              <w:rPr>
                <w:rFonts w:hint="eastAsia" w:ascii="宋体" w:hAnsi="宋体" w:cs="宋体"/>
                <w:highlight w:val="none"/>
              </w:rPr>
              <w:t>万元</w:t>
            </w:r>
            <w:r>
              <w:rPr>
                <w:rFonts w:hint="eastAsia" w:ascii="宋体" w:hAnsi="宋体" w:cs="宋体"/>
                <w:kern w:val="0"/>
                <w:szCs w:val="21"/>
                <w:highlight w:val="none"/>
              </w:rPr>
              <w:t>整（人民币）</w:t>
            </w:r>
            <w:r>
              <w:rPr>
                <w:rFonts w:hint="eastAsia" w:ascii="宋体" w:hAnsi="宋体" w:cs="宋体"/>
                <w:highlight w:val="none"/>
              </w:rPr>
              <w:t>。</w:t>
            </w:r>
          </w:p>
          <w:p>
            <w:pPr>
              <w:adjustRightInd w:val="0"/>
              <w:snapToGrid w:val="0"/>
              <w:spacing w:afterLines="0"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3. 投标人须确保其递交的纸质投标保函能在重庆市中心城区（区县项目应在重庆市中心城区或项目所在区县）相关银行核验真伪，并</w:t>
            </w:r>
            <w:r>
              <w:rPr>
                <w:rFonts w:hint="eastAsia" w:ascii="宋体" w:hAnsi="宋体" w:cs="宋体"/>
                <w:highlight w:val="none"/>
              </w:rPr>
              <w:t>在投标文件</w:t>
            </w:r>
            <w:r>
              <w:rPr>
                <w:rFonts w:hint="eastAsia" w:ascii="宋体" w:hAnsi="宋体" w:cs="宋体"/>
                <w:kern w:val="0"/>
                <w:szCs w:val="21"/>
                <w:highlight w:val="none"/>
              </w:rPr>
              <w:t>中提供纸质投标保函的核验地点、方式和联系人，否则该纸质投标保函视为无效。</w:t>
            </w:r>
          </w:p>
          <w:p>
            <w:pPr>
              <w:adjustRightInd w:val="0"/>
              <w:snapToGrid w:val="0"/>
              <w:spacing w:afterLines="0"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4. 投标人在开标现场递交的纸质投标保函原件应与投标文件中提供的纸质投标保函扫描件一致，否则由评标委员会作否决投标处理。</w:t>
            </w:r>
          </w:p>
          <w:p>
            <w:pPr>
              <w:adjustRightInd w:val="0"/>
              <w:snapToGrid w:val="0"/>
              <w:spacing w:afterLines="0"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5. 在发出中标通知书前，招标人应当对投标人（至少中标候选人或中标人）的纸质投标保函开展核验。招标人按照投标人提供的核验地点、方式和联系人等信息无法对该纸质投标保函进行核验的，或发现投标人递交的纸质投标保函弄虚作假的，对</w:t>
            </w:r>
            <w:r>
              <w:rPr>
                <w:rFonts w:hint="eastAsia" w:ascii="宋体" w:hAnsi="宋体" w:cs="宋体"/>
                <w:szCs w:val="21"/>
                <w:highlight w:val="none"/>
              </w:rPr>
              <w:t>已取得中标候选人资格或中标资格的投标人，取消中标候选人资格或中标资格</w:t>
            </w:r>
            <w:r>
              <w:rPr>
                <w:rFonts w:hint="eastAsia" w:ascii="宋体" w:hAnsi="宋体" w:cs="宋体"/>
                <w:kern w:val="0"/>
                <w:szCs w:val="21"/>
                <w:highlight w:val="none"/>
              </w:rPr>
              <w:t>，</w:t>
            </w:r>
            <w:r>
              <w:rPr>
                <w:rFonts w:hint="eastAsia" w:ascii="宋体" w:hAnsi="宋体" w:cs="宋体"/>
                <w:szCs w:val="21"/>
                <w:highlight w:val="none"/>
              </w:rPr>
              <w:t>给招标人造成损失的，投标人依法承担赔偿责任。招标人对纸质投标保函无法核验的，</w:t>
            </w:r>
            <w:r>
              <w:rPr>
                <w:rFonts w:hint="eastAsia" w:ascii="宋体" w:hAnsi="宋体" w:cs="宋体"/>
                <w:kern w:val="0"/>
                <w:szCs w:val="21"/>
                <w:highlight w:val="none"/>
              </w:rPr>
              <w:t>应当报行政监管部门依法依规处理；对纸质投标保函</w:t>
            </w:r>
            <w:r>
              <w:rPr>
                <w:rFonts w:hint="eastAsia" w:ascii="宋体" w:hAnsi="宋体" w:cs="宋体"/>
                <w:szCs w:val="21"/>
                <w:highlight w:val="none"/>
              </w:rPr>
              <w:t>弄虚作假的，</w:t>
            </w:r>
            <w:r>
              <w:rPr>
                <w:rFonts w:hint="eastAsia" w:ascii="宋体" w:hAnsi="宋体" w:cs="宋体"/>
                <w:kern w:val="0"/>
                <w:szCs w:val="21"/>
                <w:highlight w:val="none"/>
              </w:rPr>
              <w:t>应当报行政监管部门和公安机关依法依规处理。</w:t>
            </w:r>
          </w:p>
          <w:p>
            <w:pPr>
              <w:adjustRightInd w:val="0"/>
              <w:snapToGrid w:val="0"/>
              <w:spacing w:afterLines="0"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二、纸质投标保函的退还、注销</w:t>
            </w:r>
          </w:p>
          <w:p>
            <w:pPr>
              <w:adjustRightInd w:val="0"/>
              <w:snapToGrid w:val="0"/>
              <w:spacing w:afterLines="0"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招标人应当在法定时间内确定中标人，向中标人发出中标通知书，同时向除中标候选人以外的其他投标人退还纸质投标保函正本并书面通知相关银行本项目准予提前注销纸质投标保函。具体注销事宜由投标人与银行协商。</w:t>
            </w:r>
          </w:p>
          <w:p>
            <w:pPr>
              <w:adjustRightInd w:val="0"/>
              <w:snapToGrid w:val="0"/>
              <w:spacing w:afterLines="0"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招标人应在法定时间内和中标人签订合同，并同时书面通知相关银行向中标人和其他中标候选人注销纸质投标保函。具体注销事宜由投标人与银行协商。</w:t>
            </w:r>
          </w:p>
        </w:tc>
      </w:tr>
      <w:tr>
        <w:tblPrEx>
          <w:tblLayout w:type="fixed"/>
          <w:tblCellMar>
            <w:top w:w="0" w:type="dxa"/>
            <w:left w:w="0" w:type="dxa"/>
            <w:bottom w:w="0" w:type="dxa"/>
            <w:right w:w="0" w:type="dxa"/>
          </w:tblCellMar>
        </w:tblPrEx>
        <w:trPr>
          <w:jc w:val="center"/>
        </w:trPr>
        <w:tc>
          <w:tcPr>
            <w:tcW w:w="11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jc w:val="center"/>
              <w:rPr>
                <w:rFonts w:hint="eastAsia" w:ascii="宋体" w:hAnsi="宋体" w:cs="宋体"/>
                <w:kern w:val="0"/>
                <w:szCs w:val="21"/>
                <w:highlight w:val="none"/>
              </w:rPr>
            </w:pPr>
            <w:r>
              <w:rPr>
                <w:rFonts w:hint="eastAsia" w:ascii="宋体" w:hAnsi="宋体" w:cs="宋体"/>
                <w:kern w:val="0"/>
                <w:szCs w:val="21"/>
                <w:highlight w:val="none"/>
              </w:rPr>
              <w:t>3.6.1</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ind w:hanging="8"/>
              <w:jc w:val="center"/>
              <w:rPr>
                <w:rFonts w:hint="eastAsia" w:ascii="宋体" w:hAnsi="宋体" w:cs="宋体"/>
                <w:kern w:val="0"/>
                <w:szCs w:val="21"/>
                <w:highlight w:val="none"/>
              </w:rPr>
            </w:pPr>
            <w:r>
              <w:rPr>
                <w:rFonts w:hint="eastAsia" w:ascii="宋体" w:hAnsi="宋体" w:cs="宋体"/>
                <w:kern w:val="0"/>
                <w:szCs w:val="21"/>
                <w:highlight w:val="none"/>
              </w:rPr>
              <w:t>是否</w:t>
            </w:r>
            <w:r>
              <w:rPr>
                <w:rFonts w:hint="eastAsia" w:ascii="宋体" w:hAnsi="宋体" w:cs="宋体"/>
                <w:spacing w:val="-2"/>
                <w:kern w:val="0"/>
                <w:szCs w:val="21"/>
                <w:highlight w:val="none"/>
              </w:rPr>
              <w:t>允</w:t>
            </w:r>
            <w:r>
              <w:rPr>
                <w:rFonts w:hint="eastAsia" w:ascii="宋体" w:hAnsi="宋体" w:cs="宋体"/>
                <w:kern w:val="0"/>
                <w:szCs w:val="21"/>
                <w:highlight w:val="none"/>
              </w:rPr>
              <w:t>许</w:t>
            </w:r>
            <w:r>
              <w:rPr>
                <w:rFonts w:hint="eastAsia" w:ascii="宋体" w:hAnsi="宋体" w:cs="宋体"/>
                <w:spacing w:val="-2"/>
                <w:kern w:val="0"/>
                <w:szCs w:val="21"/>
                <w:highlight w:val="none"/>
              </w:rPr>
              <w:t>递</w:t>
            </w:r>
            <w:r>
              <w:rPr>
                <w:rFonts w:hint="eastAsia" w:ascii="宋体" w:hAnsi="宋体" w:cs="宋体"/>
                <w:kern w:val="0"/>
                <w:szCs w:val="21"/>
                <w:highlight w:val="none"/>
              </w:rPr>
              <w:t>交</w:t>
            </w:r>
            <w:r>
              <w:rPr>
                <w:rFonts w:hint="eastAsia" w:ascii="宋体" w:hAnsi="宋体" w:cs="宋体"/>
                <w:spacing w:val="-2"/>
                <w:kern w:val="0"/>
                <w:szCs w:val="21"/>
                <w:highlight w:val="none"/>
              </w:rPr>
              <w:t>备</w:t>
            </w:r>
            <w:r>
              <w:rPr>
                <w:rFonts w:hint="eastAsia" w:ascii="宋体" w:hAnsi="宋体" w:cs="宋体"/>
                <w:kern w:val="0"/>
                <w:szCs w:val="21"/>
                <w:highlight w:val="none"/>
              </w:rPr>
              <w:t>选</w:t>
            </w:r>
            <w:r>
              <w:rPr>
                <w:rFonts w:hint="eastAsia" w:ascii="宋体" w:hAnsi="宋体" w:cs="宋体"/>
                <w:spacing w:val="-2"/>
                <w:kern w:val="0"/>
                <w:szCs w:val="21"/>
                <w:highlight w:val="none"/>
              </w:rPr>
              <w:t>投</w:t>
            </w:r>
            <w:r>
              <w:rPr>
                <w:rFonts w:hint="eastAsia" w:ascii="宋体" w:hAnsi="宋体" w:cs="宋体"/>
                <w:kern w:val="0"/>
                <w:szCs w:val="21"/>
                <w:highlight w:val="none"/>
              </w:rPr>
              <w:t>标</w:t>
            </w:r>
            <w:r>
              <w:rPr>
                <w:rFonts w:hint="eastAsia" w:ascii="宋体" w:hAnsi="宋体" w:cs="宋体"/>
                <w:spacing w:val="-2"/>
                <w:kern w:val="0"/>
                <w:szCs w:val="21"/>
                <w:highlight w:val="none"/>
              </w:rPr>
              <w:t>方</w:t>
            </w:r>
            <w:r>
              <w:rPr>
                <w:rFonts w:hint="eastAsia" w:ascii="宋体" w:hAnsi="宋体" w:cs="宋体"/>
                <w:kern w:val="0"/>
                <w:szCs w:val="21"/>
                <w:highlight w:val="none"/>
              </w:rPr>
              <w:t>案</w:t>
            </w:r>
          </w:p>
        </w:tc>
        <w:tc>
          <w:tcPr>
            <w:tcW w:w="645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不允许</w:t>
            </w:r>
          </w:p>
        </w:tc>
      </w:tr>
      <w:tr>
        <w:tblPrEx>
          <w:tblLayout w:type="fixed"/>
          <w:tblCellMar>
            <w:top w:w="0" w:type="dxa"/>
            <w:left w:w="0" w:type="dxa"/>
            <w:bottom w:w="0" w:type="dxa"/>
            <w:right w:w="0" w:type="dxa"/>
          </w:tblCellMar>
        </w:tblPrEx>
        <w:trPr>
          <w:jc w:val="center"/>
        </w:trPr>
        <w:tc>
          <w:tcPr>
            <w:tcW w:w="1164" w:type="dxa"/>
            <w:tcBorders>
              <w:top w:val="single" w:color="000000" w:sz="4" w:space="0"/>
              <w:left w:val="single" w:color="000000" w:sz="4" w:space="0"/>
              <w:bottom w:val="single" w:color="000000" w:sz="4" w:space="0"/>
              <w:right w:val="single" w:color="000000" w:sz="4" w:space="0"/>
            </w:tcBorders>
            <w:vAlign w:val="center"/>
          </w:tcPr>
          <w:p>
            <w:pPr>
              <w:snapToGrid w:val="0"/>
              <w:spacing w:afterLines="0" w:line="400" w:lineRule="exact"/>
              <w:jc w:val="center"/>
              <w:rPr>
                <w:rFonts w:hint="eastAsia" w:ascii="宋体" w:hAnsi="宋体" w:cs="宋体"/>
                <w:kern w:val="0"/>
                <w:szCs w:val="21"/>
                <w:highlight w:val="none"/>
              </w:rPr>
            </w:pPr>
            <w:r>
              <w:rPr>
                <w:rFonts w:ascii="宋体" w:hAnsi="宋体"/>
                <w:kern w:val="0"/>
                <w:szCs w:val="21"/>
                <w:highlight w:val="none"/>
              </w:rPr>
              <w:t>3.7.3</w:t>
            </w: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spacing w:afterLines="0" w:line="400" w:lineRule="exact"/>
              <w:jc w:val="center"/>
              <w:rPr>
                <w:rFonts w:hint="eastAsia" w:ascii="宋体" w:hAnsi="宋体" w:cs="宋体"/>
                <w:kern w:val="0"/>
                <w:szCs w:val="21"/>
                <w:highlight w:val="none"/>
              </w:rPr>
            </w:pPr>
            <w:r>
              <w:rPr>
                <w:rFonts w:hint="eastAsia" w:ascii="宋体" w:hAnsi="宋体"/>
                <w:kern w:val="0"/>
                <w:szCs w:val="21"/>
                <w:highlight w:val="none"/>
              </w:rPr>
              <w:t>签名</w:t>
            </w:r>
            <w:r>
              <w:rPr>
                <w:rFonts w:ascii="宋体" w:hAnsi="宋体"/>
                <w:kern w:val="0"/>
                <w:szCs w:val="21"/>
                <w:highlight w:val="none"/>
              </w:rPr>
              <w:t>盖章要求</w:t>
            </w:r>
          </w:p>
        </w:tc>
        <w:tc>
          <w:tcPr>
            <w:tcW w:w="6458" w:type="dxa"/>
            <w:tcBorders>
              <w:top w:val="single" w:color="000000" w:sz="4" w:space="0"/>
              <w:left w:val="single" w:color="000000" w:sz="4" w:space="0"/>
              <w:bottom w:val="single" w:color="000000" w:sz="4" w:space="0"/>
              <w:right w:val="single" w:color="000000" w:sz="4" w:space="0"/>
            </w:tcBorders>
            <w:vAlign w:val="center"/>
          </w:tcPr>
          <w:p>
            <w:pPr>
              <w:snapToGrid w:val="0"/>
              <w:spacing w:afterLines="0" w:line="400" w:lineRule="exact"/>
              <w:ind w:firstLine="420" w:firstLineChars="200"/>
              <w:rPr>
                <w:rFonts w:ascii="宋体" w:hAnsi="宋体"/>
                <w:szCs w:val="21"/>
                <w:highlight w:val="none"/>
              </w:rPr>
            </w:pPr>
            <w:r>
              <w:rPr>
                <w:rFonts w:hint="eastAsia" w:ascii="宋体" w:hAnsi="宋体"/>
                <w:szCs w:val="21"/>
                <w:highlight w:val="none"/>
              </w:rPr>
              <w:t>投标文件应用不褪色的材料书写或打印，并由投标人的法定代表人或其委托代理人在招标文件规定的位置按招标文件要求签名或盖章、盖单位公章。委托代理人签名的，投标文件应附法定代表人签署的授权委托书。投标文件应尽量避免涂改、行间插字或删除。如果出现上述情况，改动之处应加盖单位公章或由投标人的法定代表人或其授权的代理人签名确认。</w:t>
            </w:r>
          </w:p>
          <w:p>
            <w:pPr>
              <w:adjustRightInd w:val="0"/>
              <w:snapToGrid w:val="0"/>
              <w:spacing w:afterLines="0" w:line="400" w:lineRule="exact"/>
              <w:ind w:firstLine="420" w:firstLineChars="200"/>
              <w:rPr>
                <w:rFonts w:hint="eastAsia" w:ascii="宋体" w:hAnsi="宋体" w:cs="宋体"/>
                <w:kern w:val="0"/>
                <w:szCs w:val="21"/>
                <w:highlight w:val="none"/>
              </w:rPr>
            </w:pPr>
            <w:r>
              <w:rPr>
                <w:rFonts w:hint="eastAsia" w:ascii="宋体" w:hAnsi="宋体"/>
                <w:szCs w:val="21"/>
                <w:highlight w:val="none"/>
              </w:rPr>
              <w:t>未按上述规定执行的，交由评标委员会作否决投标处理。</w:t>
            </w:r>
          </w:p>
        </w:tc>
      </w:tr>
      <w:tr>
        <w:tblPrEx>
          <w:tblLayout w:type="fixed"/>
          <w:tblCellMar>
            <w:top w:w="0" w:type="dxa"/>
            <w:left w:w="0" w:type="dxa"/>
            <w:bottom w:w="0" w:type="dxa"/>
            <w:right w:w="0" w:type="dxa"/>
          </w:tblCellMar>
        </w:tblPrEx>
        <w:trPr>
          <w:jc w:val="center"/>
        </w:trPr>
        <w:tc>
          <w:tcPr>
            <w:tcW w:w="1164" w:type="dxa"/>
            <w:tcBorders>
              <w:top w:val="single" w:color="000000" w:sz="4" w:space="0"/>
              <w:left w:val="single" w:color="000000" w:sz="4" w:space="0"/>
              <w:bottom w:val="single" w:color="000000" w:sz="4" w:space="0"/>
              <w:right w:val="single" w:color="000000" w:sz="4" w:space="0"/>
            </w:tcBorders>
            <w:vAlign w:val="center"/>
          </w:tcPr>
          <w:p>
            <w:pPr>
              <w:pStyle w:val="17"/>
              <w:snapToGrid w:val="0"/>
              <w:spacing w:afterLines="0" w:line="400" w:lineRule="exact"/>
              <w:jc w:val="center"/>
              <w:rPr>
                <w:rFonts w:hint="eastAsia" w:hAnsi="宋体" w:cs="宋体"/>
                <w:color w:val="auto"/>
                <w:sz w:val="21"/>
                <w:szCs w:val="21"/>
                <w:highlight w:val="none"/>
              </w:rPr>
            </w:pPr>
            <w:r>
              <w:rPr>
                <w:rFonts w:hAnsi="宋体"/>
                <w:bCs/>
                <w:color w:val="auto"/>
                <w:sz w:val="21"/>
                <w:szCs w:val="21"/>
                <w:highlight w:val="none"/>
              </w:rPr>
              <w:t>3.7.</w:t>
            </w:r>
            <w:r>
              <w:rPr>
                <w:rFonts w:hint="eastAsia" w:hAnsi="宋体"/>
                <w:bCs/>
                <w:color w:val="auto"/>
                <w:sz w:val="21"/>
                <w:szCs w:val="21"/>
                <w:highlight w:val="none"/>
              </w:rPr>
              <w:t>4</w:t>
            </w: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17"/>
              <w:snapToGrid w:val="0"/>
              <w:spacing w:afterLines="0" w:line="400" w:lineRule="exact"/>
              <w:jc w:val="center"/>
              <w:rPr>
                <w:rFonts w:hint="eastAsia" w:hAnsi="宋体" w:cs="宋体"/>
                <w:color w:val="auto"/>
                <w:sz w:val="21"/>
                <w:szCs w:val="21"/>
                <w:highlight w:val="none"/>
              </w:rPr>
            </w:pPr>
            <w:r>
              <w:rPr>
                <w:rFonts w:hint="eastAsia" w:hAnsi="宋体" w:eastAsia="宋体" w:cs="宋体"/>
                <w:bCs/>
                <w:color w:val="auto"/>
                <w:sz w:val="21"/>
                <w:szCs w:val="21"/>
                <w:highlight w:val="none"/>
              </w:rPr>
              <w:t>投标文件的份数</w:t>
            </w:r>
          </w:p>
        </w:tc>
        <w:tc>
          <w:tcPr>
            <w:tcW w:w="645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Lines="0" w:line="400" w:lineRule="exact"/>
              <w:ind w:firstLine="420" w:firstLineChars="200"/>
              <w:rPr>
                <w:rFonts w:hint="eastAsia" w:ascii="宋体" w:hAnsi="宋体" w:cs="宋体"/>
                <w:bCs/>
                <w:highlight w:val="none"/>
                <w:lang w:val="en-GB"/>
              </w:rPr>
            </w:pPr>
            <w:r>
              <w:rPr>
                <w:rFonts w:hint="eastAsia" w:ascii="宋体" w:hAnsi="宋体" w:cs="宋体"/>
                <w:bCs/>
                <w:highlight w:val="none"/>
                <w:lang w:val="en-GB"/>
              </w:rPr>
              <w:t>1</w:t>
            </w:r>
            <w:r>
              <w:rPr>
                <w:rFonts w:hint="eastAsia" w:ascii="宋体" w:hAnsi="宋体" w:cs="宋体"/>
                <w:bCs/>
                <w:highlight w:val="none"/>
              </w:rPr>
              <w:t>.</w:t>
            </w:r>
            <w:r>
              <w:rPr>
                <w:rFonts w:hint="eastAsia" w:ascii="宋体" w:hAnsi="宋体" w:cs="宋体"/>
                <w:bCs/>
                <w:highlight w:val="none"/>
                <w:lang w:val="en-GB"/>
              </w:rPr>
              <w:t>投标人应准备投标文件的正本1份，副本</w:t>
            </w:r>
            <w:r>
              <w:rPr>
                <w:rFonts w:hint="eastAsia" w:ascii="宋体" w:hAnsi="宋体" w:cs="宋体"/>
                <w:bCs/>
                <w:highlight w:val="none"/>
              </w:rPr>
              <w:t>1</w:t>
            </w:r>
            <w:r>
              <w:rPr>
                <w:rFonts w:hint="eastAsia" w:ascii="宋体" w:hAnsi="宋体" w:cs="宋体"/>
                <w:bCs/>
                <w:highlight w:val="none"/>
                <w:lang w:val="en-GB"/>
              </w:rPr>
              <w:t>份，并提供</w:t>
            </w:r>
            <w:r>
              <w:rPr>
                <w:rFonts w:hint="eastAsia" w:ascii="宋体" w:hAnsi="宋体" w:cs="宋体"/>
                <w:bCs/>
                <w:highlight w:val="none"/>
              </w:rPr>
              <w:t>3</w:t>
            </w:r>
            <w:r>
              <w:rPr>
                <w:rFonts w:hint="eastAsia" w:ascii="宋体" w:hAnsi="宋体" w:cs="宋体"/>
                <w:bCs/>
                <w:highlight w:val="none"/>
                <w:lang w:val="en-GB"/>
              </w:rPr>
              <w:t>个投标文件的</w:t>
            </w:r>
            <w:r>
              <w:rPr>
                <w:rFonts w:hint="eastAsia" w:ascii="宋体" w:hAnsi="宋体" w:cs="宋体"/>
                <w:bCs/>
                <w:highlight w:val="none"/>
              </w:rPr>
              <w:t>U盘</w:t>
            </w:r>
            <w:r>
              <w:rPr>
                <w:rFonts w:hint="eastAsia" w:ascii="宋体" w:hAnsi="宋体" w:cs="宋体"/>
                <w:bCs/>
                <w:highlight w:val="none"/>
                <w:lang w:val="en-GB"/>
              </w:rPr>
              <w:t>（</w:t>
            </w:r>
            <w:r>
              <w:rPr>
                <w:rFonts w:hint="eastAsia" w:ascii="宋体" w:hAnsi="宋体" w:cs="宋体"/>
                <w:bCs/>
                <w:highlight w:val="none"/>
              </w:rPr>
              <w:t>U盘须加盖单位公章</w:t>
            </w:r>
            <w:r>
              <w:rPr>
                <w:rFonts w:hint="eastAsia" w:ascii="宋体" w:hAnsi="宋体" w:cs="宋体"/>
                <w:bCs/>
                <w:highlight w:val="none"/>
                <w:lang w:val="en-GB"/>
              </w:rPr>
              <w:t>）；在每一份投标文件上要明确注明“正本”和“副本”，一旦正本和副本有不一致之处，以正本为准。</w:t>
            </w:r>
          </w:p>
          <w:p>
            <w:pPr>
              <w:adjustRightInd w:val="0"/>
              <w:snapToGrid w:val="0"/>
              <w:spacing w:afterLines="0" w:line="400" w:lineRule="exact"/>
              <w:ind w:firstLine="420" w:firstLineChars="200"/>
              <w:rPr>
                <w:rFonts w:hint="eastAsia" w:ascii="宋体" w:hAnsi="宋体" w:cs="宋体"/>
                <w:bCs/>
                <w:highlight w:val="none"/>
                <w:lang w:val="en-GB"/>
              </w:rPr>
            </w:pPr>
            <w:r>
              <w:rPr>
                <w:rFonts w:hint="eastAsia" w:ascii="宋体" w:hAnsi="宋体" w:cs="宋体"/>
                <w:bCs/>
                <w:highlight w:val="none"/>
                <w:lang w:val="en-GB"/>
              </w:rPr>
              <w:t>2</w:t>
            </w:r>
            <w:r>
              <w:rPr>
                <w:rFonts w:hint="eastAsia" w:ascii="宋体" w:hAnsi="宋体" w:cs="宋体"/>
                <w:bCs/>
                <w:highlight w:val="none"/>
              </w:rPr>
              <w:t>.</w:t>
            </w:r>
            <w:r>
              <w:rPr>
                <w:rFonts w:hint="eastAsia" w:ascii="宋体" w:hAnsi="宋体" w:cs="宋体"/>
                <w:bCs/>
                <w:highlight w:val="none"/>
                <w:lang w:val="en-GB"/>
              </w:rPr>
              <w:t>投标文件的正本和副本均应使用打印机打印或用不能轻易擦去且不易褪色的档案墨水书写，投标文件的副本也可用复印机复制。不论是书写、打印或复制，均应做到清晰、整洁、规范。</w:t>
            </w:r>
          </w:p>
          <w:p>
            <w:pPr>
              <w:adjustRightInd w:val="0"/>
              <w:snapToGrid w:val="0"/>
              <w:spacing w:afterLines="0" w:line="400" w:lineRule="exact"/>
              <w:ind w:firstLine="422" w:firstLineChars="200"/>
              <w:rPr>
                <w:rFonts w:hint="eastAsia" w:ascii="宋体" w:hAnsi="宋体" w:cs="宋体"/>
                <w:b/>
                <w:highlight w:val="none"/>
              </w:rPr>
            </w:pPr>
            <w:r>
              <w:rPr>
                <w:rFonts w:hint="eastAsia" w:ascii="宋体" w:hAnsi="宋体" w:cs="宋体"/>
                <w:b/>
                <w:highlight w:val="none"/>
              </w:rPr>
              <w:t>注：1.U盘加盖单位公章只是为了交易中心存档使用，不作为否决投标条件，请各投标人配合盖章。</w:t>
            </w:r>
          </w:p>
          <w:p>
            <w:pPr>
              <w:adjustRightInd w:val="0"/>
              <w:snapToGrid w:val="0"/>
              <w:spacing w:afterLines="0" w:line="400" w:lineRule="exact"/>
              <w:ind w:firstLine="422" w:firstLineChars="200"/>
              <w:rPr>
                <w:rFonts w:hint="eastAsia" w:ascii="宋体" w:hAnsi="宋体" w:cs="宋体"/>
                <w:b/>
                <w:bCs/>
                <w:szCs w:val="21"/>
                <w:highlight w:val="none"/>
              </w:rPr>
            </w:pPr>
            <w:r>
              <w:rPr>
                <w:rFonts w:hint="eastAsia" w:ascii="宋体" w:hAnsi="宋体" w:cs="宋体"/>
                <w:b/>
                <w:highlight w:val="none"/>
              </w:rPr>
              <w:t>2.中标后，中标人应按招标人要求的份数向招标人提供投标文件副本。</w:t>
            </w:r>
          </w:p>
        </w:tc>
      </w:tr>
      <w:tr>
        <w:tblPrEx>
          <w:tblLayout w:type="fixed"/>
          <w:tblCellMar>
            <w:top w:w="0" w:type="dxa"/>
            <w:left w:w="0" w:type="dxa"/>
            <w:bottom w:w="0" w:type="dxa"/>
            <w:right w:w="0" w:type="dxa"/>
          </w:tblCellMar>
        </w:tblPrEx>
        <w:trPr>
          <w:jc w:val="center"/>
        </w:trPr>
        <w:tc>
          <w:tcPr>
            <w:tcW w:w="1164" w:type="dxa"/>
            <w:tcBorders>
              <w:top w:val="single" w:color="000000" w:sz="4" w:space="0"/>
              <w:left w:val="single" w:color="000000" w:sz="4" w:space="0"/>
              <w:bottom w:val="single" w:color="000000" w:sz="4" w:space="0"/>
              <w:right w:val="single" w:color="000000" w:sz="4" w:space="0"/>
            </w:tcBorders>
            <w:vAlign w:val="center"/>
          </w:tcPr>
          <w:p>
            <w:pPr>
              <w:snapToGrid w:val="0"/>
              <w:spacing w:afterLines="0" w:line="400" w:lineRule="exact"/>
              <w:jc w:val="center"/>
              <w:rPr>
                <w:rFonts w:hint="eastAsia" w:ascii="宋体" w:hAnsi="宋体" w:cs="宋体"/>
                <w:kern w:val="0"/>
                <w:szCs w:val="21"/>
                <w:highlight w:val="none"/>
              </w:rPr>
            </w:pPr>
            <w:r>
              <w:rPr>
                <w:rFonts w:hint="eastAsia" w:ascii="宋体" w:hAnsi="宋体" w:cs="宋体"/>
                <w:highlight w:val="none"/>
              </w:rPr>
              <w:t>3.7.5</w:t>
            </w: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spacing w:afterLines="0" w:line="400" w:lineRule="exact"/>
              <w:jc w:val="center"/>
              <w:rPr>
                <w:rFonts w:hint="eastAsia" w:ascii="宋体" w:hAnsi="宋体" w:cs="宋体"/>
                <w:kern w:val="0"/>
                <w:szCs w:val="21"/>
                <w:highlight w:val="none"/>
              </w:rPr>
            </w:pPr>
            <w:r>
              <w:rPr>
                <w:rFonts w:hint="eastAsia" w:ascii="宋体" w:hAnsi="宋体" w:cs="宋体"/>
                <w:highlight w:val="none"/>
              </w:rPr>
              <w:t>装订要求</w:t>
            </w:r>
          </w:p>
        </w:tc>
        <w:tc>
          <w:tcPr>
            <w:tcW w:w="645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Lines="0" w:line="400" w:lineRule="exact"/>
              <w:ind w:firstLine="420" w:firstLineChars="200"/>
              <w:rPr>
                <w:rFonts w:hint="eastAsia" w:ascii="宋体" w:hAnsi="宋体" w:cs="宋体"/>
                <w:b/>
                <w:bCs/>
                <w:szCs w:val="21"/>
                <w:highlight w:val="none"/>
              </w:rPr>
            </w:pPr>
            <w:r>
              <w:rPr>
                <w:rFonts w:hint="eastAsia" w:ascii="宋体" w:hAnsi="宋体" w:cs="宋体"/>
                <w:bCs/>
                <w:highlight w:val="none"/>
                <w:lang w:val="en-GB"/>
              </w:rPr>
              <w:t>本</w:t>
            </w:r>
            <w:r>
              <w:rPr>
                <w:rFonts w:hint="eastAsia" w:ascii="宋体" w:hAnsi="宋体" w:cs="宋体"/>
                <w:bCs/>
                <w:highlight w:val="none"/>
              </w:rPr>
              <w:t>项目</w:t>
            </w:r>
            <w:r>
              <w:rPr>
                <w:rFonts w:hint="eastAsia" w:ascii="宋体" w:hAnsi="宋体" w:cs="宋体"/>
                <w:bCs/>
                <w:highlight w:val="none"/>
                <w:lang w:val="en-GB"/>
              </w:rPr>
              <w:t>技术部分采用明标评审，投标文件须装订成一册（</w:t>
            </w:r>
            <w:r>
              <w:rPr>
                <w:rFonts w:hint="eastAsia" w:ascii="宋体" w:hAnsi="宋体" w:cs="宋体"/>
                <w:bCs/>
                <w:highlight w:val="none"/>
              </w:rPr>
              <w:t>投标函部分、</w:t>
            </w:r>
            <w:r>
              <w:rPr>
                <w:rFonts w:hint="eastAsia" w:ascii="宋体" w:hAnsi="宋体" w:cs="宋体"/>
                <w:bCs/>
                <w:highlight w:val="none"/>
                <w:lang w:val="en-GB"/>
              </w:rPr>
              <w:t>资格审查部分、</w:t>
            </w:r>
            <w:r>
              <w:rPr>
                <w:rFonts w:hint="eastAsia" w:ascii="宋体" w:hAnsi="宋体" w:cs="宋体"/>
                <w:bCs/>
                <w:highlight w:val="none"/>
              </w:rPr>
              <w:t>商务部分、</w:t>
            </w:r>
            <w:r>
              <w:rPr>
                <w:rFonts w:hint="eastAsia" w:ascii="宋体" w:hAnsi="宋体" w:cs="宋体"/>
                <w:bCs/>
                <w:highlight w:val="none"/>
                <w:lang w:val="en-GB"/>
              </w:rPr>
              <w:t>技术部分顺序装订），并应编制目录，若装订过厚，也可分订成多册。</w:t>
            </w:r>
          </w:p>
        </w:tc>
      </w:tr>
      <w:tr>
        <w:tblPrEx>
          <w:tblLayout w:type="fixed"/>
          <w:tblCellMar>
            <w:top w:w="0" w:type="dxa"/>
            <w:left w:w="0" w:type="dxa"/>
            <w:bottom w:w="0" w:type="dxa"/>
            <w:right w:w="0" w:type="dxa"/>
          </w:tblCellMar>
        </w:tblPrEx>
        <w:trPr>
          <w:jc w:val="center"/>
        </w:trPr>
        <w:tc>
          <w:tcPr>
            <w:tcW w:w="11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jc w:val="center"/>
              <w:rPr>
                <w:rFonts w:hint="eastAsia" w:ascii="宋体" w:hAnsi="宋体" w:cs="宋体"/>
                <w:kern w:val="0"/>
                <w:szCs w:val="21"/>
                <w:highlight w:val="none"/>
              </w:rPr>
            </w:pPr>
            <w:r>
              <w:rPr>
                <w:rFonts w:hint="eastAsia" w:ascii="宋体" w:hAnsi="宋体" w:cs="宋体"/>
                <w:kern w:val="0"/>
                <w:szCs w:val="21"/>
                <w:highlight w:val="none"/>
              </w:rPr>
              <w:t>4.1.1</w:t>
            </w: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19"/>
              <w:adjustRightInd w:val="0"/>
              <w:snapToGrid w:val="0"/>
              <w:spacing w:afterLines="0" w:line="400" w:lineRule="exact"/>
              <w:jc w:val="center"/>
              <w:rPr>
                <w:rFonts w:hint="eastAsia"/>
                <w:sz w:val="21"/>
                <w:szCs w:val="21"/>
                <w:highlight w:val="none"/>
              </w:rPr>
            </w:pPr>
            <w:r>
              <w:rPr>
                <w:rFonts w:hint="eastAsia"/>
                <w:sz w:val="21"/>
                <w:szCs w:val="21"/>
                <w:highlight w:val="none"/>
              </w:rPr>
              <w:t>投标文件的密封</w:t>
            </w:r>
          </w:p>
        </w:tc>
        <w:tc>
          <w:tcPr>
            <w:tcW w:w="645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ind w:firstLine="420" w:firstLineChars="200"/>
              <w:jc w:val="left"/>
              <w:rPr>
                <w:rFonts w:hint="eastAsia" w:ascii="宋体" w:hAnsi="宋体" w:cs="宋体"/>
                <w:bCs/>
                <w:szCs w:val="21"/>
                <w:highlight w:val="none"/>
              </w:rPr>
            </w:pPr>
            <w:r>
              <w:rPr>
                <w:rFonts w:hint="eastAsia" w:ascii="宋体" w:hAnsi="宋体" w:cs="宋体"/>
                <w:bCs/>
                <w:szCs w:val="21"/>
                <w:highlight w:val="none"/>
              </w:rPr>
              <w:t>1.投标文件袋使用投标人自备的“投标文件”袋（箱）。</w:t>
            </w:r>
          </w:p>
          <w:p>
            <w:pPr>
              <w:autoSpaceDE w:val="0"/>
              <w:autoSpaceDN w:val="0"/>
              <w:adjustRightInd w:val="0"/>
              <w:snapToGrid w:val="0"/>
              <w:spacing w:afterLines="0" w:line="400" w:lineRule="exact"/>
              <w:ind w:firstLine="420" w:firstLineChars="200"/>
              <w:jc w:val="left"/>
              <w:rPr>
                <w:rFonts w:hint="eastAsia" w:ascii="宋体" w:hAnsi="宋体" w:cs="宋体"/>
                <w:bCs/>
                <w:szCs w:val="21"/>
                <w:highlight w:val="none"/>
              </w:rPr>
            </w:pPr>
            <w:r>
              <w:rPr>
                <w:rFonts w:hint="eastAsia" w:ascii="宋体" w:hAnsi="宋体" w:cs="宋体"/>
                <w:bCs/>
                <w:szCs w:val="21"/>
                <w:highlight w:val="none"/>
              </w:rPr>
              <w:t xml:space="preserve">2.《投标文件》与电子版文件一起装入“投标文件”袋（箱）中，密封并在袋上加盖投标人单位公章。 </w:t>
            </w:r>
          </w:p>
          <w:p>
            <w:pPr>
              <w:autoSpaceDE w:val="0"/>
              <w:autoSpaceDN w:val="0"/>
              <w:adjustRightInd w:val="0"/>
              <w:snapToGrid w:val="0"/>
              <w:spacing w:afterLines="0" w:line="400" w:lineRule="exact"/>
              <w:ind w:firstLine="420" w:firstLineChars="200"/>
              <w:jc w:val="left"/>
              <w:rPr>
                <w:rFonts w:hint="eastAsia" w:ascii="宋体" w:hAnsi="宋体" w:cs="宋体"/>
                <w:bCs/>
                <w:szCs w:val="21"/>
                <w:highlight w:val="none"/>
              </w:rPr>
            </w:pPr>
            <w:r>
              <w:rPr>
                <w:rFonts w:hint="eastAsia" w:ascii="宋体" w:hAnsi="宋体" w:cs="宋体"/>
                <w:bCs/>
                <w:szCs w:val="21"/>
                <w:highlight w:val="none"/>
              </w:rPr>
              <w:t>3.“投标文件”袋（箱）应按本表第4.1.2项的规定写明相应内容。</w:t>
            </w:r>
          </w:p>
          <w:p>
            <w:pPr>
              <w:autoSpaceDE w:val="0"/>
              <w:autoSpaceDN w:val="0"/>
              <w:adjustRightInd w:val="0"/>
              <w:snapToGrid w:val="0"/>
              <w:spacing w:afterLines="0" w:line="400" w:lineRule="exact"/>
              <w:ind w:firstLine="420" w:firstLineChars="200"/>
              <w:jc w:val="left"/>
              <w:rPr>
                <w:rFonts w:hint="eastAsia" w:ascii="宋体" w:hAnsi="宋体" w:cs="宋体"/>
                <w:bCs/>
                <w:szCs w:val="21"/>
                <w:highlight w:val="none"/>
              </w:rPr>
            </w:pPr>
            <w:r>
              <w:rPr>
                <w:rFonts w:hint="eastAsia" w:ascii="宋体" w:hAnsi="宋体" w:cs="宋体"/>
                <w:bCs/>
                <w:szCs w:val="21"/>
                <w:highlight w:val="none"/>
              </w:rPr>
              <w:t>4.如果“投标文件”袋没有按本招标文件规定密封的，招标人或招标代理机构拒绝接收。</w:t>
            </w:r>
          </w:p>
          <w:p>
            <w:pPr>
              <w:autoSpaceDE w:val="0"/>
              <w:autoSpaceDN w:val="0"/>
              <w:adjustRightInd w:val="0"/>
              <w:snapToGrid w:val="0"/>
              <w:spacing w:afterLines="0" w:line="400" w:lineRule="exact"/>
              <w:ind w:firstLine="420" w:firstLineChars="200"/>
              <w:jc w:val="left"/>
              <w:rPr>
                <w:rFonts w:hint="eastAsia" w:ascii="宋体" w:hAnsi="宋体" w:cs="宋体"/>
                <w:bCs/>
                <w:szCs w:val="21"/>
                <w:highlight w:val="none"/>
              </w:rPr>
            </w:pPr>
            <w:r>
              <w:rPr>
                <w:rFonts w:hint="eastAsia" w:ascii="宋体" w:hAnsi="宋体" w:cs="宋体"/>
                <w:bCs/>
                <w:szCs w:val="21"/>
                <w:highlight w:val="none"/>
              </w:rPr>
              <w:t>注：</w:t>
            </w:r>
          </w:p>
          <w:p>
            <w:pPr>
              <w:autoSpaceDE w:val="0"/>
              <w:autoSpaceDN w:val="0"/>
              <w:adjustRightInd w:val="0"/>
              <w:snapToGrid w:val="0"/>
              <w:spacing w:afterLines="0" w:line="400" w:lineRule="exact"/>
              <w:ind w:firstLine="420" w:firstLineChars="200"/>
              <w:jc w:val="left"/>
              <w:rPr>
                <w:rFonts w:hint="eastAsia" w:ascii="宋体" w:hAnsi="宋体" w:cs="宋体"/>
                <w:bCs/>
                <w:szCs w:val="21"/>
                <w:highlight w:val="none"/>
              </w:rPr>
            </w:pPr>
            <w:r>
              <w:rPr>
                <w:rFonts w:hint="eastAsia" w:ascii="宋体" w:hAnsi="宋体" w:cs="宋体"/>
                <w:bCs/>
                <w:szCs w:val="21"/>
                <w:highlight w:val="none"/>
              </w:rPr>
              <w:t>（1）如投标文件较厚，上述投标文件不能装入相应的一个袋（箱）中，投标人可按上述要求增加投标文件袋（箱）。</w:t>
            </w:r>
          </w:p>
          <w:p>
            <w:pPr>
              <w:autoSpaceDE w:val="0"/>
              <w:autoSpaceDN w:val="0"/>
              <w:adjustRightInd w:val="0"/>
              <w:snapToGrid w:val="0"/>
              <w:spacing w:afterLines="0" w:line="400" w:lineRule="exact"/>
              <w:ind w:firstLine="420" w:firstLineChars="200"/>
              <w:jc w:val="left"/>
              <w:rPr>
                <w:rFonts w:hint="eastAsia" w:ascii="宋体" w:hAnsi="宋体" w:cs="宋体"/>
                <w:kern w:val="0"/>
                <w:szCs w:val="21"/>
                <w:highlight w:val="none"/>
              </w:rPr>
            </w:pPr>
            <w:r>
              <w:rPr>
                <w:rFonts w:hint="eastAsia" w:ascii="宋体" w:hAnsi="宋体" w:cs="宋体"/>
                <w:bCs/>
                <w:szCs w:val="21"/>
                <w:highlight w:val="none"/>
              </w:rPr>
              <w:t>（2）投标文件袋可由投标人自制，也可采用盒（箱）装的形式，但需满足相关密封要求。</w:t>
            </w:r>
          </w:p>
        </w:tc>
      </w:tr>
      <w:tr>
        <w:tblPrEx>
          <w:tblLayout w:type="fixed"/>
          <w:tblCellMar>
            <w:top w:w="0" w:type="dxa"/>
            <w:left w:w="0" w:type="dxa"/>
            <w:bottom w:w="0" w:type="dxa"/>
            <w:right w:w="0" w:type="dxa"/>
          </w:tblCellMar>
        </w:tblPrEx>
        <w:trPr>
          <w:jc w:val="center"/>
        </w:trPr>
        <w:tc>
          <w:tcPr>
            <w:tcW w:w="11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jc w:val="center"/>
              <w:rPr>
                <w:rFonts w:hint="eastAsia" w:ascii="宋体" w:hAnsi="宋体" w:cs="宋体"/>
                <w:kern w:val="0"/>
                <w:szCs w:val="21"/>
                <w:highlight w:val="none"/>
              </w:rPr>
            </w:pPr>
            <w:r>
              <w:rPr>
                <w:rFonts w:hint="eastAsia" w:ascii="宋体" w:hAnsi="宋体" w:cs="宋体"/>
                <w:kern w:val="0"/>
                <w:szCs w:val="21"/>
                <w:highlight w:val="none"/>
              </w:rPr>
              <w:t>4.1.2</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ind w:hanging="8"/>
              <w:jc w:val="center"/>
              <w:rPr>
                <w:rFonts w:hint="eastAsia" w:ascii="宋体" w:hAnsi="宋体" w:cs="宋体"/>
                <w:spacing w:val="-2"/>
                <w:kern w:val="0"/>
                <w:szCs w:val="21"/>
                <w:highlight w:val="none"/>
              </w:rPr>
            </w:pPr>
            <w:r>
              <w:rPr>
                <w:rFonts w:hint="eastAsia" w:ascii="宋体" w:hAnsi="宋体" w:cs="宋体"/>
                <w:kern w:val="0"/>
                <w:szCs w:val="21"/>
                <w:highlight w:val="none"/>
              </w:rPr>
              <w:t>封套</w:t>
            </w:r>
            <w:r>
              <w:rPr>
                <w:rFonts w:hint="eastAsia" w:ascii="宋体" w:hAnsi="宋体" w:cs="宋体"/>
                <w:spacing w:val="-2"/>
                <w:kern w:val="0"/>
                <w:szCs w:val="21"/>
                <w:highlight w:val="none"/>
              </w:rPr>
              <w:t>上</w:t>
            </w:r>
            <w:r>
              <w:rPr>
                <w:rFonts w:hint="eastAsia" w:ascii="宋体" w:hAnsi="宋体" w:cs="宋体"/>
                <w:kern w:val="0"/>
                <w:szCs w:val="21"/>
                <w:highlight w:val="none"/>
              </w:rPr>
              <w:t>应</w:t>
            </w:r>
            <w:r>
              <w:rPr>
                <w:rFonts w:hint="eastAsia" w:ascii="宋体" w:hAnsi="宋体" w:cs="宋体"/>
                <w:spacing w:val="-2"/>
                <w:kern w:val="0"/>
                <w:szCs w:val="21"/>
                <w:highlight w:val="none"/>
              </w:rPr>
              <w:t>载</w:t>
            </w:r>
            <w:r>
              <w:rPr>
                <w:rFonts w:hint="eastAsia" w:ascii="宋体" w:hAnsi="宋体" w:cs="宋体"/>
                <w:kern w:val="0"/>
                <w:szCs w:val="21"/>
                <w:highlight w:val="none"/>
              </w:rPr>
              <w:t>明</w:t>
            </w:r>
            <w:r>
              <w:rPr>
                <w:rFonts w:hint="eastAsia" w:ascii="宋体" w:hAnsi="宋体" w:cs="宋体"/>
                <w:spacing w:val="-2"/>
                <w:kern w:val="0"/>
                <w:szCs w:val="21"/>
                <w:highlight w:val="none"/>
              </w:rPr>
              <w:t>的</w:t>
            </w:r>
          </w:p>
          <w:p>
            <w:pPr>
              <w:autoSpaceDE w:val="0"/>
              <w:autoSpaceDN w:val="0"/>
              <w:adjustRightInd w:val="0"/>
              <w:snapToGrid w:val="0"/>
              <w:spacing w:afterLines="0" w:line="400" w:lineRule="exact"/>
              <w:ind w:hanging="8"/>
              <w:jc w:val="center"/>
              <w:rPr>
                <w:rFonts w:hint="eastAsia" w:ascii="宋体" w:hAnsi="宋体" w:cs="宋体"/>
                <w:kern w:val="0"/>
                <w:szCs w:val="21"/>
                <w:highlight w:val="none"/>
              </w:rPr>
            </w:pPr>
            <w:r>
              <w:rPr>
                <w:rFonts w:hint="eastAsia" w:ascii="宋体" w:hAnsi="宋体" w:cs="宋体"/>
                <w:kern w:val="0"/>
                <w:szCs w:val="21"/>
                <w:highlight w:val="none"/>
              </w:rPr>
              <w:t>信息</w:t>
            </w:r>
          </w:p>
        </w:tc>
        <w:tc>
          <w:tcPr>
            <w:tcW w:w="645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ind w:firstLine="420" w:firstLineChars="200"/>
              <w:rPr>
                <w:rFonts w:hint="eastAsia" w:ascii="宋体" w:hAnsi="宋体" w:cs="宋体"/>
                <w:bCs/>
                <w:kern w:val="0"/>
                <w:szCs w:val="21"/>
                <w:highlight w:val="none"/>
              </w:rPr>
            </w:pPr>
            <w:r>
              <w:rPr>
                <w:rFonts w:hint="eastAsia" w:ascii="宋体" w:hAnsi="宋体" w:cs="宋体"/>
                <w:bCs/>
                <w:kern w:val="0"/>
                <w:szCs w:val="21"/>
                <w:highlight w:val="none"/>
              </w:rPr>
              <w:t>应在“投标文件”大袋封套上写明如下内容：</w:t>
            </w:r>
          </w:p>
          <w:p>
            <w:pPr>
              <w:autoSpaceDE w:val="0"/>
              <w:autoSpaceDN w:val="0"/>
              <w:adjustRightInd w:val="0"/>
              <w:snapToGrid w:val="0"/>
              <w:spacing w:afterLines="0" w:line="400" w:lineRule="exact"/>
              <w:ind w:firstLine="420" w:firstLineChars="200"/>
              <w:rPr>
                <w:rFonts w:hint="eastAsia" w:ascii="宋体" w:hAnsi="宋体" w:cs="宋体"/>
                <w:bCs/>
                <w:kern w:val="0"/>
                <w:szCs w:val="21"/>
                <w:highlight w:val="none"/>
              </w:rPr>
            </w:pPr>
            <w:r>
              <w:rPr>
                <w:rFonts w:hint="eastAsia" w:ascii="宋体" w:hAnsi="宋体" w:cs="宋体"/>
                <w:bCs/>
                <w:kern w:val="0"/>
                <w:szCs w:val="21"/>
                <w:highlight w:val="none"/>
              </w:rPr>
              <w:t>招标人名称：</w:t>
            </w:r>
            <w:r>
              <w:rPr>
                <w:rFonts w:hint="eastAsia" w:ascii="宋体" w:hAnsi="宋体" w:cs="宋体"/>
                <w:bCs/>
                <w:kern w:val="0"/>
                <w:szCs w:val="21"/>
                <w:highlight w:val="none"/>
                <w:u w:val="single"/>
              </w:rPr>
              <w:t xml:space="preserve">                       </w:t>
            </w:r>
          </w:p>
          <w:p>
            <w:pPr>
              <w:autoSpaceDE w:val="0"/>
              <w:autoSpaceDN w:val="0"/>
              <w:adjustRightInd w:val="0"/>
              <w:snapToGrid w:val="0"/>
              <w:spacing w:afterLines="0" w:line="400" w:lineRule="exact"/>
              <w:ind w:firstLine="420" w:firstLineChars="200"/>
              <w:rPr>
                <w:rFonts w:hint="eastAsia" w:ascii="宋体" w:hAnsi="宋体" w:cs="宋体"/>
                <w:bCs/>
                <w:kern w:val="0"/>
                <w:szCs w:val="21"/>
                <w:highlight w:val="none"/>
                <w:u w:val="single"/>
              </w:rPr>
            </w:pPr>
            <w:r>
              <w:rPr>
                <w:rFonts w:hint="eastAsia" w:ascii="宋体" w:hAnsi="宋体" w:cs="宋体"/>
                <w:bCs/>
                <w:kern w:val="0"/>
                <w:szCs w:val="21"/>
                <w:highlight w:val="none"/>
              </w:rPr>
              <w:t>投标人名称：</w:t>
            </w:r>
            <w:r>
              <w:rPr>
                <w:rFonts w:hint="eastAsia" w:ascii="宋体" w:hAnsi="宋体" w:cs="宋体"/>
                <w:bCs/>
                <w:kern w:val="0"/>
                <w:szCs w:val="21"/>
                <w:highlight w:val="none"/>
                <w:u w:val="single"/>
              </w:rPr>
              <w:t xml:space="preserve">                       </w:t>
            </w:r>
          </w:p>
          <w:p>
            <w:pPr>
              <w:autoSpaceDE w:val="0"/>
              <w:autoSpaceDN w:val="0"/>
              <w:adjustRightInd w:val="0"/>
              <w:snapToGrid w:val="0"/>
              <w:spacing w:afterLines="0" w:line="400" w:lineRule="exact"/>
              <w:ind w:firstLine="420" w:firstLineChars="200"/>
              <w:rPr>
                <w:rFonts w:hint="eastAsia" w:ascii="宋体" w:hAnsi="宋体" w:cs="宋体"/>
                <w:bCs/>
                <w:kern w:val="0"/>
                <w:szCs w:val="21"/>
                <w:highlight w:val="none"/>
              </w:rPr>
            </w:pPr>
            <w:r>
              <w:rPr>
                <w:rFonts w:hint="eastAsia" w:ascii="宋体" w:hAnsi="宋体" w:cs="宋体"/>
                <w:bCs/>
                <w:kern w:val="0"/>
                <w:szCs w:val="21"/>
                <w:highlight w:val="none"/>
                <w:u w:val="single"/>
              </w:rPr>
              <w:t xml:space="preserve">      (项目名称)          </w:t>
            </w:r>
            <w:r>
              <w:rPr>
                <w:rFonts w:hint="eastAsia" w:ascii="宋体" w:hAnsi="宋体" w:cs="宋体"/>
                <w:bCs/>
                <w:kern w:val="0"/>
                <w:szCs w:val="21"/>
                <w:highlight w:val="none"/>
              </w:rPr>
              <w:t>投标文件</w:t>
            </w:r>
          </w:p>
          <w:p>
            <w:pPr>
              <w:tabs>
                <w:tab w:val="left" w:pos="720"/>
                <w:tab w:val="left" w:pos="1360"/>
                <w:tab w:val="left" w:pos="1980"/>
                <w:tab w:val="left" w:pos="2620"/>
              </w:tabs>
              <w:autoSpaceDE w:val="0"/>
              <w:autoSpaceDN w:val="0"/>
              <w:adjustRightInd w:val="0"/>
              <w:snapToGrid w:val="0"/>
              <w:spacing w:afterLines="0" w:line="400" w:lineRule="exact"/>
              <w:ind w:firstLine="210" w:firstLineChars="100"/>
              <w:jc w:val="left"/>
              <w:rPr>
                <w:rFonts w:hint="eastAsia" w:ascii="宋体" w:hAnsi="宋体" w:cs="宋体"/>
                <w:kern w:val="0"/>
                <w:szCs w:val="21"/>
                <w:highlight w:val="none"/>
              </w:rPr>
            </w:pPr>
            <w:r>
              <w:rPr>
                <w:rFonts w:hint="eastAsia" w:ascii="宋体" w:hAnsi="宋体" w:cs="宋体"/>
                <w:bCs/>
                <w:kern w:val="0"/>
                <w:szCs w:val="21"/>
                <w:highlight w:val="none"/>
              </w:rPr>
              <w:t>在</w:t>
            </w:r>
            <w:r>
              <w:rPr>
                <w:rFonts w:hint="eastAsia" w:ascii="宋体" w:hAnsi="宋体" w:cs="宋体"/>
                <w:bCs/>
                <w:kern w:val="0"/>
                <w:szCs w:val="21"/>
                <w:highlight w:val="none"/>
                <w:u w:val="single"/>
              </w:rPr>
              <w:t xml:space="preserve">    </w:t>
            </w:r>
            <w:r>
              <w:rPr>
                <w:rFonts w:hint="eastAsia" w:ascii="宋体" w:hAnsi="宋体" w:cs="宋体"/>
                <w:bCs/>
                <w:kern w:val="0"/>
                <w:szCs w:val="21"/>
                <w:highlight w:val="none"/>
              </w:rPr>
              <w:t>年</w:t>
            </w:r>
            <w:r>
              <w:rPr>
                <w:rFonts w:hint="eastAsia" w:ascii="宋体" w:hAnsi="宋体" w:cs="宋体"/>
                <w:bCs/>
                <w:kern w:val="0"/>
                <w:szCs w:val="21"/>
                <w:highlight w:val="none"/>
                <w:u w:val="single"/>
              </w:rPr>
              <w:t xml:space="preserve">   </w:t>
            </w:r>
            <w:r>
              <w:rPr>
                <w:rFonts w:hint="eastAsia" w:ascii="宋体" w:hAnsi="宋体" w:cs="宋体"/>
                <w:bCs/>
                <w:kern w:val="0"/>
                <w:szCs w:val="21"/>
                <w:highlight w:val="none"/>
              </w:rPr>
              <w:t>月</w:t>
            </w:r>
            <w:r>
              <w:rPr>
                <w:rFonts w:hint="eastAsia" w:ascii="宋体" w:hAnsi="宋体" w:cs="宋体"/>
                <w:bCs/>
                <w:kern w:val="0"/>
                <w:szCs w:val="21"/>
                <w:highlight w:val="none"/>
                <w:u w:val="single"/>
              </w:rPr>
              <w:t xml:space="preserve">   </w:t>
            </w:r>
            <w:r>
              <w:rPr>
                <w:rFonts w:hint="eastAsia" w:ascii="宋体" w:hAnsi="宋体" w:cs="宋体"/>
                <w:bCs/>
                <w:kern w:val="0"/>
                <w:szCs w:val="21"/>
                <w:highlight w:val="none"/>
              </w:rPr>
              <w:t>日</w:t>
            </w:r>
            <w:r>
              <w:rPr>
                <w:rFonts w:hint="eastAsia" w:ascii="宋体" w:hAnsi="宋体" w:cs="宋体"/>
                <w:bCs/>
                <w:kern w:val="0"/>
                <w:szCs w:val="21"/>
                <w:highlight w:val="none"/>
                <w:u w:val="single"/>
              </w:rPr>
              <w:t xml:space="preserve">   </w:t>
            </w:r>
            <w:r>
              <w:rPr>
                <w:rFonts w:hint="eastAsia" w:ascii="宋体" w:hAnsi="宋体" w:cs="宋体"/>
                <w:bCs/>
                <w:kern w:val="0"/>
                <w:szCs w:val="21"/>
                <w:highlight w:val="none"/>
              </w:rPr>
              <w:t>时</w:t>
            </w:r>
            <w:r>
              <w:rPr>
                <w:rFonts w:hint="eastAsia" w:ascii="宋体" w:hAnsi="宋体" w:cs="宋体"/>
                <w:bCs/>
                <w:kern w:val="0"/>
                <w:szCs w:val="21"/>
                <w:highlight w:val="none"/>
                <w:u w:val="single"/>
              </w:rPr>
              <w:t xml:space="preserve">   </w:t>
            </w:r>
            <w:r>
              <w:rPr>
                <w:rFonts w:hint="eastAsia" w:ascii="宋体" w:hAnsi="宋体" w:cs="宋体"/>
                <w:bCs/>
                <w:kern w:val="0"/>
                <w:szCs w:val="21"/>
                <w:highlight w:val="none"/>
              </w:rPr>
              <w:t>分前不得开启。</w:t>
            </w:r>
          </w:p>
        </w:tc>
      </w:tr>
      <w:tr>
        <w:tblPrEx>
          <w:tblLayout w:type="fixed"/>
          <w:tblCellMar>
            <w:top w:w="0" w:type="dxa"/>
            <w:left w:w="0" w:type="dxa"/>
            <w:bottom w:w="0" w:type="dxa"/>
            <w:right w:w="0" w:type="dxa"/>
          </w:tblCellMar>
        </w:tblPrEx>
        <w:trPr>
          <w:jc w:val="center"/>
        </w:trPr>
        <w:tc>
          <w:tcPr>
            <w:tcW w:w="1164" w:type="dxa"/>
            <w:tcBorders>
              <w:top w:val="single" w:color="000000" w:sz="4" w:space="0"/>
              <w:left w:val="single" w:color="000000" w:sz="4" w:space="0"/>
              <w:bottom w:val="single" w:color="000000" w:sz="4" w:space="0"/>
              <w:right w:val="single" w:color="000000" w:sz="4" w:space="0"/>
            </w:tcBorders>
            <w:vAlign w:val="center"/>
          </w:tcPr>
          <w:p>
            <w:pPr>
              <w:tabs>
                <w:tab w:val="left" w:pos="1050"/>
                <w:tab w:val="left" w:pos="1470"/>
              </w:tabs>
              <w:snapToGrid w:val="0"/>
              <w:spacing w:afterLines="0" w:line="400" w:lineRule="exact"/>
              <w:jc w:val="center"/>
              <w:rPr>
                <w:rFonts w:hint="eastAsia" w:ascii="宋体" w:hAnsi="宋体" w:cs="宋体"/>
                <w:kern w:val="0"/>
                <w:szCs w:val="21"/>
                <w:highlight w:val="none"/>
              </w:rPr>
            </w:pPr>
            <w:r>
              <w:rPr>
                <w:rFonts w:hint="eastAsia" w:ascii="宋体" w:hAnsi="宋体" w:cs="宋体"/>
                <w:highlight w:val="none"/>
                <w:lang w:val="en-GB"/>
              </w:rPr>
              <w:t>4.2.2</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left" w:pos="1050"/>
                <w:tab w:val="left" w:pos="1470"/>
              </w:tabs>
              <w:snapToGrid w:val="0"/>
              <w:spacing w:afterLines="0" w:line="400" w:lineRule="exact"/>
              <w:jc w:val="center"/>
              <w:rPr>
                <w:rFonts w:hint="eastAsia" w:ascii="宋体" w:hAnsi="宋体" w:cs="宋体"/>
                <w:kern w:val="0"/>
                <w:szCs w:val="21"/>
                <w:highlight w:val="none"/>
              </w:rPr>
            </w:pPr>
            <w:r>
              <w:rPr>
                <w:rFonts w:hint="eastAsia" w:ascii="宋体" w:hAnsi="宋体" w:cs="宋体"/>
                <w:highlight w:val="none"/>
                <w:lang w:val="en-GB"/>
              </w:rPr>
              <w:t>递交投标文件地点</w:t>
            </w:r>
          </w:p>
        </w:tc>
        <w:tc>
          <w:tcPr>
            <w:tcW w:w="645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Lines="0" w:line="400" w:lineRule="exact"/>
              <w:ind w:firstLine="420" w:firstLineChars="200"/>
              <w:rPr>
                <w:rFonts w:hint="eastAsia" w:ascii="宋体" w:hAnsi="宋体" w:cs="宋体"/>
                <w:kern w:val="0"/>
                <w:szCs w:val="21"/>
                <w:highlight w:val="none"/>
              </w:rPr>
            </w:pPr>
            <w:r>
              <w:rPr>
                <w:rFonts w:hint="eastAsia" w:ascii="宋体" w:hAnsi="宋体" w:cs="宋体"/>
                <w:bCs/>
                <w:szCs w:val="21"/>
                <w:highlight w:val="none"/>
              </w:rPr>
              <w:t>重庆市公共资源交易中心开标区（具体请登陆</w:t>
            </w:r>
            <w:r>
              <w:rPr>
                <w:rFonts w:hint="eastAsia" w:ascii="宋体" w:hAnsi="宋体" w:cs="宋体"/>
                <w:bCs/>
                <w:szCs w:val="21"/>
                <w:highlight w:val="none"/>
                <w:u w:val="single"/>
              </w:rPr>
              <w:t>重庆市公共资源交易网（www.cqggzy.com）</w:t>
            </w:r>
            <w:r>
              <w:rPr>
                <w:rFonts w:hint="eastAsia" w:ascii="宋体" w:hAnsi="宋体" w:cs="宋体"/>
                <w:bCs/>
                <w:szCs w:val="21"/>
                <w:highlight w:val="none"/>
              </w:rPr>
              <w:t>查询或递交文件当日见交易中心大厅电子显示屏）。</w:t>
            </w:r>
          </w:p>
        </w:tc>
      </w:tr>
      <w:tr>
        <w:tblPrEx>
          <w:tblLayout w:type="fixed"/>
          <w:tblCellMar>
            <w:top w:w="0" w:type="dxa"/>
            <w:left w:w="0" w:type="dxa"/>
            <w:bottom w:w="0" w:type="dxa"/>
            <w:right w:w="0" w:type="dxa"/>
          </w:tblCellMar>
        </w:tblPrEx>
        <w:trPr>
          <w:jc w:val="center"/>
        </w:trPr>
        <w:tc>
          <w:tcPr>
            <w:tcW w:w="11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jc w:val="center"/>
              <w:rPr>
                <w:rFonts w:hint="eastAsia" w:ascii="宋体" w:hAnsi="宋体" w:cs="宋体"/>
                <w:kern w:val="0"/>
                <w:szCs w:val="21"/>
                <w:highlight w:val="none"/>
              </w:rPr>
            </w:pPr>
            <w:r>
              <w:rPr>
                <w:rFonts w:hint="eastAsia" w:ascii="宋体" w:hAnsi="宋体" w:cs="宋体"/>
                <w:kern w:val="0"/>
                <w:szCs w:val="21"/>
                <w:highlight w:val="none"/>
              </w:rPr>
              <w:t>4.2.3</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ind w:hanging="8"/>
              <w:jc w:val="center"/>
              <w:rPr>
                <w:rFonts w:hint="eastAsia" w:ascii="宋体" w:hAnsi="宋体" w:cs="宋体"/>
                <w:kern w:val="0"/>
                <w:szCs w:val="21"/>
                <w:highlight w:val="none"/>
              </w:rPr>
            </w:pPr>
            <w:r>
              <w:rPr>
                <w:rFonts w:hint="eastAsia" w:ascii="宋体" w:hAnsi="宋体" w:cs="宋体"/>
                <w:kern w:val="0"/>
                <w:szCs w:val="21"/>
                <w:highlight w:val="none"/>
              </w:rPr>
              <w:t>投标</w:t>
            </w:r>
            <w:r>
              <w:rPr>
                <w:rFonts w:hint="eastAsia" w:ascii="宋体" w:hAnsi="宋体" w:cs="宋体"/>
                <w:spacing w:val="-2"/>
                <w:kern w:val="0"/>
                <w:szCs w:val="21"/>
                <w:highlight w:val="none"/>
              </w:rPr>
              <w:t>文</w:t>
            </w:r>
            <w:r>
              <w:rPr>
                <w:rFonts w:hint="eastAsia" w:ascii="宋体" w:hAnsi="宋体" w:cs="宋体"/>
                <w:kern w:val="0"/>
                <w:szCs w:val="21"/>
                <w:highlight w:val="none"/>
              </w:rPr>
              <w:t>件</w:t>
            </w:r>
            <w:r>
              <w:rPr>
                <w:rFonts w:hint="eastAsia" w:ascii="宋体" w:hAnsi="宋体" w:cs="宋体"/>
                <w:spacing w:val="-2"/>
                <w:kern w:val="0"/>
                <w:szCs w:val="21"/>
                <w:highlight w:val="none"/>
              </w:rPr>
              <w:t>是</w:t>
            </w:r>
            <w:r>
              <w:rPr>
                <w:rFonts w:hint="eastAsia" w:ascii="宋体" w:hAnsi="宋体" w:cs="宋体"/>
                <w:kern w:val="0"/>
                <w:szCs w:val="21"/>
                <w:highlight w:val="none"/>
              </w:rPr>
              <w:t>否</w:t>
            </w:r>
            <w:r>
              <w:rPr>
                <w:rFonts w:hint="eastAsia" w:ascii="宋体" w:hAnsi="宋体" w:cs="宋体"/>
                <w:spacing w:val="-2"/>
                <w:kern w:val="0"/>
                <w:szCs w:val="21"/>
                <w:highlight w:val="none"/>
              </w:rPr>
              <w:t>退</w:t>
            </w:r>
            <w:r>
              <w:rPr>
                <w:rFonts w:hint="eastAsia" w:ascii="宋体" w:hAnsi="宋体" w:cs="宋体"/>
                <w:kern w:val="0"/>
                <w:szCs w:val="21"/>
                <w:highlight w:val="none"/>
              </w:rPr>
              <w:t>还</w:t>
            </w:r>
          </w:p>
        </w:tc>
        <w:tc>
          <w:tcPr>
            <w:tcW w:w="645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ind w:firstLine="420" w:firstLineChars="200"/>
              <w:jc w:val="left"/>
              <w:rPr>
                <w:rFonts w:hint="eastAsia" w:ascii="宋体" w:hAnsi="宋体" w:cs="宋体"/>
                <w:kern w:val="0"/>
                <w:szCs w:val="21"/>
                <w:highlight w:val="none"/>
              </w:rPr>
            </w:pPr>
            <w:r>
              <w:rPr>
                <w:rFonts w:hint="eastAsia" w:ascii="宋体" w:hAnsi="宋体" w:cs="宋体"/>
                <w:kern w:val="0"/>
                <w:position w:val="-1"/>
                <w:szCs w:val="21"/>
                <w:highlight w:val="none"/>
              </w:rPr>
              <w:t>否</w:t>
            </w:r>
          </w:p>
        </w:tc>
      </w:tr>
      <w:tr>
        <w:tblPrEx>
          <w:tblLayout w:type="fixed"/>
          <w:tblCellMar>
            <w:top w:w="0" w:type="dxa"/>
            <w:left w:w="0" w:type="dxa"/>
            <w:bottom w:w="0" w:type="dxa"/>
            <w:right w:w="0" w:type="dxa"/>
          </w:tblCellMar>
        </w:tblPrEx>
        <w:trPr>
          <w:jc w:val="center"/>
        </w:trPr>
        <w:tc>
          <w:tcPr>
            <w:tcW w:w="1164" w:type="dxa"/>
            <w:tcBorders>
              <w:top w:val="single" w:color="000000" w:sz="4" w:space="0"/>
              <w:left w:val="single" w:color="000000" w:sz="4" w:space="0"/>
              <w:bottom w:val="single" w:color="000000" w:sz="4" w:space="0"/>
              <w:right w:val="single" w:color="000000" w:sz="4" w:space="0"/>
            </w:tcBorders>
            <w:vAlign w:val="center"/>
          </w:tcPr>
          <w:p>
            <w:pPr>
              <w:pStyle w:val="17"/>
              <w:snapToGrid w:val="0"/>
              <w:spacing w:afterLines="0" w:line="400" w:lineRule="exact"/>
              <w:jc w:val="center"/>
              <w:rPr>
                <w:rFonts w:hint="eastAsia" w:hAnsi="宋体" w:cs="宋体"/>
                <w:color w:val="auto"/>
                <w:sz w:val="21"/>
                <w:szCs w:val="21"/>
                <w:highlight w:val="none"/>
              </w:rPr>
            </w:pPr>
            <w:r>
              <w:rPr>
                <w:rFonts w:hAnsi="宋体"/>
                <w:bCs/>
                <w:color w:val="auto"/>
                <w:sz w:val="21"/>
                <w:szCs w:val="21"/>
                <w:highlight w:val="none"/>
              </w:rPr>
              <w:t>5.1</w:t>
            </w: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17"/>
              <w:snapToGrid w:val="0"/>
              <w:spacing w:afterLines="0" w:line="400" w:lineRule="exact"/>
              <w:jc w:val="center"/>
              <w:rPr>
                <w:rFonts w:hint="eastAsia" w:hAnsi="宋体" w:eastAsia="宋体" w:cs="宋体"/>
                <w:color w:val="auto"/>
                <w:sz w:val="21"/>
                <w:szCs w:val="21"/>
                <w:highlight w:val="none"/>
              </w:rPr>
            </w:pPr>
            <w:r>
              <w:rPr>
                <w:rFonts w:hint="eastAsia" w:hAnsi="宋体" w:eastAsia="宋体" w:cs="宋体"/>
                <w:bCs/>
                <w:color w:val="auto"/>
                <w:sz w:val="21"/>
                <w:szCs w:val="21"/>
                <w:highlight w:val="none"/>
              </w:rPr>
              <w:t>开标时间和地点</w:t>
            </w:r>
          </w:p>
        </w:tc>
        <w:tc>
          <w:tcPr>
            <w:tcW w:w="6458" w:type="dxa"/>
            <w:tcBorders>
              <w:top w:val="single" w:color="000000" w:sz="4" w:space="0"/>
              <w:left w:val="single" w:color="000000" w:sz="4" w:space="0"/>
              <w:bottom w:val="single" w:color="000000" w:sz="4" w:space="0"/>
              <w:right w:val="single" w:color="000000" w:sz="4" w:space="0"/>
            </w:tcBorders>
            <w:vAlign w:val="center"/>
          </w:tcPr>
          <w:p>
            <w:pPr>
              <w:snapToGrid w:val="0"/>
              <w:spacing w:afterLines="0"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开标时间：同投标截止时间</w:t>
            </w:r>
          </w:p>
          <w:p>
            <w:pPr>
              <w:pStyle w:val="17"/>
              <w:snapToGrid w:val="0"/>
              <w:spacing w:afterLines="0" w:line="400" w:lineRule="exact"/>
              <w:ind w:firstLine="420" w:firstLineChars="200"/>
              <w:jc w:val="both"/>
              <w:rPr>
                <w:rFonts w:hint="eastAsia" w:hAnsi="宋体" w:eastAsia="宋体" w:cs="宋体"/>
                <w:color w:val="auto"/>
                <w:sz w:val="21"/>
                <w:szCs w:val="21"/>
                <w:highlight w:val="none"/>
              </w:rPr>
            </w:pPr>
            <w:r>
              <w:rPr>
                <w:rFonts w:hint="eastAsia" w:hAnsi="宋体" w:eastAsia="宋体" w:cs="宋体"/>
                <w:sz w:val="21"/>
                <w:szCs w:val="21"/>
                <w:highlight w:val="none"/>
              </w:rPr>
              <w:t>开标地点：</w:t>
            </w:r>
            <w:r>
              <w:rPr>
                <w:rFonts w:hint="eastAsia" w:hAnsi="宋体" w:eastAsia="宋体" w:cs="宋体"/>
                <w:bCs/>
                <w:sz w:val="21"/>
                <w:szCs w:val="21"/>
                <w:highlight w:val="none"/>
              </w:rPr>
              <w:t>重庆市公共资源交易中心开标室（具体请登陆</w:t>
            </w:r>
            <w:r>
              <w:rPr>
                <w:rFonts w:hint="eastAsia" w:hAnsi="宋体" w:eastAsia="宋体" w:cs="宋体"/>
                <w:bCs/>
                <w:sz w:val="21"/>
                <w:szCs w:val="21"/>
                <w:highlight w:val="none"/>
                <w:u w:val="single"/>
              </w:rPr>
              <w:t>重庆市公共资源交易网（www.cqggzy.com）</w:t>
            </w:r>
            <w:r>
              <w:rPr>
                <w:rFonts w:hint="eastAsia" w:hAnsi="宋体" w:eastAsia="宋体" w:cs="宋体"/>
                <w:bCs/>
                <w:sz w:val="21"/>
                <w:szCs w:val="21"/>
                <w:highlight w:val="none"/>
              </w:rPr>
              <w:t>查询或递交文件当日见交易中心大厅电子显示屏）。</w:t>
            </w:r>
          </w:p>
        </w:tc>
      </w:tr>
      <w:tr>
        <w:tblPrEx>
          <w:tblLayout w:type="fixed"/>
          <w:tblCellMar>
            <w:top w:w="0" w:type="dxa"/>
            <w:left w:w="0" w:type="dxa"/>
            <w:bottom w:w="0" w:type="dxa"/>
            <w:right w:w="0" w:type="dxa"/>
          </w:tblCellMar>
        </w:tblPrEx>
        <w:trPr>
          <w:jc w:val="center"/>
        </w:trPr>
        <w:tc>
          <w:tcPr>
            <w:tcW w:w="1164" w:type="dxa"/>
            <w:tcBorders>
              <w:top w:val="single" w:color="000000" w:sz="4" w:space="0"/>
              <w:left w:val="single" w:color="000000" w:sz="4" w:space="0"/>
              <w:bottom w:val="single" w:color="000000" w:sz="4" w:space="0"/>
              <w:right w:val="single" w:color="000000" w:sz="4" w:space="0"/>
            </w:tcBorders>
            <w:vAlign w:val="center"/>
          </w:tcPr>
          <w:p>
            <w:pPr>
              <w:pStyle w:val="17"/>
              <w:snapToGrid w:val="0"/>
              <w:spacing w:afterLines="0" w:line="400" w:lineRule="exact"/>
              <w:jc w:val="center"/>
              <w:rPr>
                <w:rFonts w:hint="eastAsia" w:hAnsi="宋体" w:cs="宋体"/>
                <w:color w:val="auto"/>
                <w:sz w:val="21"/>
                <w:szCs w:val="21"/>
                <w:highlight w:val="none"/>
              </w:rPr>
            </w:pPr>
            <w:r>
              <w:rPr>
                <w:rFonts w:hint="eastAsia" w:hAnsi="宋体" w:cs="宋体"/>
                <w:bCs/>
                <w:color w:val="auto"/>
                <w:sz w:val="21"/>
                <w:szCs w:val="21"/>
                <w:highlight w:val="none"/>
              </w:rPr>
              <w:t>5.2</w:t>
            </w: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17"/>
              <w:snapToGrid w:val="0"/>
              <w:spacing w:afterLines="0" w:line="400" w:lineRule="exact"/>
              <w:jc w:val="center"/>
              <w:rPr>
                <w:rFonts w:hint="eastAsia" w:hAnsi="宋体" w:cs="宋体"/>
                <w:color w:val="auto"/>
                <w:sz w:val="21"/>
                <w:szCs w:val="21"/>
                <w:highlight w:val="none"/>
              </w:rPr>
            </w:pPr>
            <w:r>
              <w:rPr>
                <w:rFonts w:hint="eastAsia" w:hAnsi="宋体" w:eastAsia="宋体" w:cs="宋体"/>
                <w:bCs/>
                <w:color w:val="auto"/>
                <w:sz w:val="21"/>
                <w:szCs w:val="21"/>
                <w:highlight w:val="none"/>
              </w:rPr>
              <w:t>开标程序</w:t>
            </w:r>
          </w:p>
        </w:tc>
        <w:tc>
          <w:tcPr>
            <w:tcW w:w="645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Lines="0" w:line="400" w:lineRule="exact"/>
              <w:ind w:firstLine="420" w:firstLineChars="200"/>
              <w:rPr>
                <w:rFonts w:hint="eastAsia" w:ascii="宋体" w:hAnsi="宋体" w:cs="宋体"/>
                <w:bCs/>
                <w:highlight w:val="none"/>
                <w:lang w:val="en-GB"/>
              </w:rPr>
            </w:pPr>
            <w:r>
              <w:rPr>
                <w:rFonts w:hint="eastAsia" w:ascii="宋体" w:hAnsi="宋体" w:cs="宋体"/>
                <w:bCs/>
                <w:highlight w:val="none"/>
                <w:lang w:val="en-GB"/>
              </w:rPr>
              <w:t>1. 宣布开标纪律；</w:t>
            </w:r>
          </w:p>
          <w:p>
            <w:pPr>
              <w:adjustRightInd w:val="0"/>
              <w:snapToGrid w:val="0"/>
              <w:spacing w:afterLines="0" w:line="400" w:lineRule="exact"/>
              <w:ind w:firstLine="420" w:firstLineChars="200"/>
              <w:rPr>
                <w:rFonts w:hint="eastAsia" w:ascii="宋体" w:hAnsi="宋体" w:cs="宋体"/>
                <w:bCs/>
                <w:highlight w:val="none"/>
                <w:lang w:val="en-GB"/>
              </w:rPr>
            </w:pPr>
            <w:r>
              <w:rPr>
                <w:rFonts w:hint="eastAsia" w:ascii="宋体" w:hAnsi="宋体" w:cs="宋体"/>
                <w:bCs/>
                <w:highlight w:val="none"/>
                <w:lang w:val="en-GB"/>
              </w:rPr>
              <w:t>2. 宣布开标人、唱标人、记录人、监标人等有关人员姓名；</w:t>
            </w:r>
          </w:p>
          <w:p>
            <w:pPr>
              <w:adjustRightInd w:val="0"/>
              <w:snapToGrid w:val="0"/>
              <w:spacing w:afterLines="0" w:line="400" w:lineRule="exact"/>
              <w:ind w:firstLine="420" w:firstLineChars="200"/>
              <w:rPr>
                <w:rFonts w:hint="eastAsia" w:ascii="宋体" w:hAnsi="宋体" w:cs="宋体"/>
                <w:bCs/>
                <w:highlight w:val="none"/>
                <w:lang w:val="en-GB"/>
              </w:rPr>
            </w:pPr>
            <w:r>
              <w:rPr>
                <w:rFonts w:hint="eastAsia" w:ascii="宋体" w:hAnsi="宋体" w:cs="宋体"/>
                <w:bCs/>
                <w:highlight w:val="none"/>
                <w:lang w:val="en-GB"/>
              </w:rPr>
              <w:t>3. 公布在投标截止时间前递交投标文件的投标人名称，并点名确认投标人是否派人到场；</w:t>
            </w:r>
          </w:p>
          <w:p>
            <w:pPr>
              <w:snapToGrid w:val="0"/>
              <w:spacing w:afterLines="0" w:line="400" w:lineRule="exact"/>
              <w:ind w:firstLine="420" w:firstLineChars="200"/>
              <w:jc w:val="left"/>
              <w:rPr>
                <w:rFonts w:hint="eastAsia" w:ascii="宋体" w:hAnsi="宋体" w:cs="宋体"/>
                <w:b/>
                <w:highlight w:val="none"/>
              </w:rPr>
            </w:pPr>
            <w:r>
              <w:rPr>
                <w:rFonts w:hint="eastAsia" w:ascii="宋体" w:hAnsi="宋体" w:cs="宋体"/>
                <w:bCs/>
                <w:highlight w:val="none"/>
                <w:lang w:val="en-GB"/>
              </w:rPr>
              <w:t xml:space="preserve">4. </w:t>
            </w:r>
            <w:r>
              <w:rPr>
                <w:rFonts w:hint="eastAsia" w:ascii="宋体" w:hAnsi="宋体" w:cs="宋体"/>
                <w:b/>
                <w:highlight w:val="none"/>
              </w:rPr>
              <w:t>核验参加开标会议的投标人的法定代表人或委托代理人本人身份证（原件）、被授权代理人的授权委托书（原件），若开标现场投标人代表身份核验无效，其将不被允许参加开标会，但不影响其《投标文件》的有效性。其无条件接受开标结果。</w:t>
            </w:r>
          </w:p>
          <w:p>
            <w:pPr>
              <w:adjustRightInd w:val="0"/>
              <w:snapToGrid w:val="0"/>
              <w:spacing w:afterLines="0" w:line="400" w:lineRule="exact"/>
              <w:ind w:firstLine="420" w:firstLineChars="200"/>
              <w:rPr>
                <w:rFonts w:hint="eastAsia" w:ascii="宋体" w:hAnsi="宋体" w:cs="宋体"/>
                <w:bCs/>
                <w:highlight w:val="none"/>
                <w:lang w:val="en-GB"/>
              </w:rPr>
            </w:pPr>
            <w:r>
              <w:rPr>
                <w:rFonts w:hint="eastAsia" w:ascii="宋体" w:hAnsi="宋体" w:cs="宋体"/>
                <w:snapToGrid w:val="0"/>
                <w:highlight w:val="none"/>
              </w:rPr>
              <w:t>注：法定代表人参加投标活动的不需要授权委托书，只需提供法定代表人身份证明；非法定代表人参加投标活动的除提供法定代表人身份证明外还须提供授权委托书。</w:t>
            </w:r>
          </w:p>
          <w:p>
            <w:pPr>
              <w:adjustRightInd w:val="0"/>
              <w:snapToGrid w:val="0"/>
              <w:spacing w:afterLines="0" w:line="400" w:lineRule="exact"/>
              <w:ind w:firstLine="420" w:firstLineChars="200"/>
              <w:rPr>
                <w:rFonts w:hint="eastAsia" w:ascii="宋体" w:hAnsi="宋体" w:cs="宋体"/>
                <w:bCs/>
                <w:highlight w:val="none"/>
                <w:lang w:val="en-GB"/>
              </w:rPr>
            </w:pPr>
            <w:r>
              <w:rPr>
                <w:rFonts w:hint="eastAsia" w:ascii="宋体" w:hAnsi="宋体" w:cs="宋体"/>
                <w:bCs/>
                <w:highlight w:val="none"/>
              </w:rPr>
              <w:t>5</w:t>
            </w:r>
            <w:r>
              <w:rPr>
                <w:rFonts w:hint="eastAsia" w:ascii="宋体" w:hAnsi="宋体" w:cs="宋体"/>
                <w:bCs/>
                <w:highlight w:val="none"/>
                <w:lang w:val="en-GB"/>
              </w:rPr>
              <w:t>. 汇总投标保证金交纳情况</w:t>
            </w:r>
          </w:p>
          <w:p>
            <w:pPr>
              <w:adjustRightInd w:val="0"/>
              <w:snapToGrid w:val="0"/>
              <w:spacing w:afterLines="0" w:line="400" w:lineRule="exact"/>
              <w:ind w:firstLine="420" w:firstLineChars="200"/>
              <w:rPr>
                <w:rFonts w:hint="eastAsia" w:ascii="宋体" w:hAnsi="宋体" w:cs="宋体"/>
                <w:bCs/>
                <w:highlight w:val="none"/>
                <w:lang w:val="en-GB"/>
              </w:rPr>
            </w:pPr>
            <w:r>
              <w:rPr>
                <w:rFonts w:hint="eastAsia" w:ascii="宋体" w:hAnsi="宋体" w:cs="宋体"/>
                <w:bCs/>
                <w:highlight w:val="none"/>
              </w:rPr>
              <w:t>5</w:t>
            </w:r>
            <w:r>
              <w:rPr>
                <w:rFonts w:hint="eastAsia" w:ascii="宋体" w:hAnsi="宋体" w:cs="宋体"/>
                <w:bCs/>
                <w:highlight w:val="none"/>
                <w:lang w:val="en-GB"/>
              </w:rPr>
              <w:t>.1 展示以电子投标保函方式递交投标保证金的情况，展示内容应至少包含投标人名称、金额、投标保函提交时间、保函有效期及是否具有不可撤销且见索即付属性等。电子投标保函应在投标截止时间前提交至指定系统，异常情况在开标记录表“异常情况”栏中记录并交由评标委员会评审。</w:t>
            </w:r>
          </w:p>
          <w:p>
            <w:pPr>
              <w:adjustRightInd w:val="0"/>
              <w:snapToGrid w:val="0"/>
              <w:spacing w:afterLines="0" w:line="400" w:lineRule="exact"/>
              <w:ind w:firstLine="420" w:firstLineChars="200"/>
              <w:rPr>
                <w:rFonts w:hint="eastAsia" w:ascii="宋体" w:hAnsi="宋体" w:cs="宋体"/>
                <w:bCs/>
                <w:highlight w:val="none"/>
                <w:lang w:val="en-GB"/>
              </w:rPr>
            </w:pPr>
            <w:r>
              <w:rPr>
                <w:rFonts w:hint="eastAsia" w:ascii="宋体" w:hAnsi="宋体" w:cs="宋体"/>
                <w:bCs/>
                <w:highlight w:val="none"/>
              </w:rPr>
              <w:t>5</w:t>
            </w:r>
            <w:r>
              <w:rPr>
                <w:rFonts w:hint="eastAsia" w:ascii="宋体" w:hAnsi="宋体" w:cs="宋体"/>
                <w:bCs/>
                <w:highlight w:val="none"/>
                <w:lang w:val="en-GB"/>
              </w:rPr>
              <w:t>.2 展示以电子转账方式递交投标保证金的情况，展示内容应至少包含投标人名称、金额、投标保证金打入指定账户的时间等，异常情况在开标记录表“异常情况”栏中记录并交由评标委员会评审。</w:t>
            </w:r>
          </w:p>
          <w:p>
            <w:pPr>
              <w:adjustRightInd w:val="0"/>
              <w:snapToGrid w:val="0"/>
              <w:spacing w:afterLines="0" w:line="400" w:lineRule="exact"/>
              <w:ind w:firstLine="420" w:firstLineChars="200"/>
              <w:rPr>
                <w:rFonts w:hint="eastAsia" w:ascii="宋体" w:hAnsi="宋体" w:cs="宋体"/>
                <w:bCs/>
                <w:highlight w:val="none"/>
              </w:rPr>
            </w:pPr>
            <w:r>
              <w:rPr>
                <w:rFonts w:hint="eastAsia" w:ascii="宋体" w:hAnsi="宋体" w:cs="宋体"/>
                <w:szCs w:val="21"/>
                <w:highlight w:val="none"/>
              </w:rPr>
              <w:t>5.3 展示以纸质投标保函方式递交投标保证金的情况，并记录在“纸质投标保函递交情况一览表”中，异常情况在开标记录表“异常情况”栏中记录。</w:t>
            </w:r>
          </w:p>
          <w:p>
            <w:pPr>
              <w:adjustRightInd w:val="0"/>
              <w:snapToGrid w:val="0"/>
              <w:spacing w:afterLines="0" w:line="400" w:lineRule="exact"/>
              <w:ind w:firstLine="420" w:firstLineChars="200"/>
              <w:rPr>
                <w:rFonts w:hint="eastAsia" w:ascii="宋体" w:hAnsi="宋体" w:cs="宋体"/>
                <w:bCs/>
                <w:highlight w:val="none"/>
                <w:lang w:val="en-GB"/>
              </w:rPr>
            </w:pPr>
            <w:r>
              <w:rPr>
                <w:rFonts w:hint="eastAsia" w:ascii="宋体" w:hAnsi="宋体" w:cs="宋体"/>
                <w:bCs/>
                <w:highlight w:val="none"/>
              </w:rPr>
              <w:t>5</w:t>
            </w:r>
            <w:r>
              <w:rPr>
                <w:rFonts w:hint="eastAsia" w:ascii="宋体" w:hAnsi="宋体" w:cs="宋体"/>
                <w:bCs/>
                <w:highlight w:val="none"/>
                <w:lang w:val="en-GB"/>
              </w:rPr>
              <w:t>.</w:t>
            </w:r>
            <w:r>
              <w:rPr>
                <w:rFonts w:hint="eastAsia" w:ascii="宋体" w:hAnsi="宋体" w:cs="宋体"/>
                <w:bCs/>
                <w:highlight w:val="none"/>
              </w:rPr>
              <w:t>4</w:t>
            </w:r>
            <w:r>
              <w:rPr>
                <w:rFonts w:hint="eastAsia" w:ascii="宋体" w:hAnsi="宋体" w:cs="宋体"/>
                <w:bCs/>
                <w:highlight w:val="none"/>
                <w:lang w:val="en-GB"/>
              </w:rPr>
              <w:t xml:space="preserve"> 打印所有投标人的投标保证金交纳情況，并由招标人代表、监标人、记录人签名确认。</w:t>
            </w:r>
          </w:p>
          <w:p>
            <w:pPr>
              <w:adjustRightInd w:val="0"/>
              <w:snapToGrid w:val="0"/>
              <w:spacing w:afterLines="0" w:line="400" w:lineRule="exact"/>
              <w:ind w:firstLine="420" w:firstLineChars="200"/>
              <w:rPr>
                <w:rFonts w:hint="eastAsia" w:ascii="宋体" w:hAnsi="宋体" w:cs="宋体"/>
                <w:bCs/>
                <w:highlight w:val="none"/>
                <w:lang w:val="en-GB"/>
              </w:rPr>
            </w:pPr>
            <w:r>
              <w:rPr>
                <w:rFonts w:hint="eastAsia" w:ascii="宋体" w:hAnsi="宋体" w:cs="宋体"/>
                <w:bCs/>
                <w:highlight w:val="none"/>
                <w:lang w:val="en-GB"/>
              </w:rPr>
              <w:t>6.</w:t>
            </w:r>
            <w:r>
              <w:rPr>
                <w:rFonts w:hint="eastAsia" w:ascii="宋体" w:hAnsi="宋体" w:cs="宋体"/>
                <w:szCs w:val="21"/>
                <w:highlight w:val="none"/>
              </w:rPr>
              <w:t>投标文件的密封检查：投标人可对自己的投标文件封装情况进行检查，以确认其投标文件密封完好。</w:t>
            </w:r>
          </w:p>
          <w:p>
            <w:pPr>
              <w:adjustRightInd w:val="0"/>
              <w:snapToGrid w:val="0"/>
              <w:spacing w:afterLines="0" w:line="400" w:lineRule="exact"/>
              <w:ind w:firstLine="420" w:firstLineChars="200"/>
              <w:rPr>
                <w:rFonts w:hint="eastAsia" w:ascii="宋体" w:hAnsi="宋体" w:cs="宋体"/>
                <w:bCs/>
                <w:highlight w:val="none"/>
                <w:lang w:val="en-GB"/>
              </w:rPr>
            </w:pPr>
            <w:r>
              <w:rPr>
                <w:rFonts w:hint="eastAsia" w:ascii="宋体" w:hAnsi="宋体" w:cs="宋体"/>
                <w:bCs/>
                <w:highlight w:val="none"/>
              </w:rPr>
              <w:t>7</w:t>
            </w:r>
            <w:r>
              <w:rPr>
                <w:rFonts w:hint="eastAsia" w:ascii="宋体" w:hAnsi="宋体" w:cs="宋体"/>
                <w:bCs/>
                <w:highlight w:val="none"/>
                <w:lang w:val="en-GB"/>
              </w:rPr>
              <w:t>.开标顺序：随机开启</w:t>
            </w:r>
            <w:r>
              <w:rPr>
                <w:rFonts w:hint="eastAsia" w:ascii="宋体" w:hAnsi="宋体" w:cs="宋体"/>
                <w:bCs/>
                <w:highlight w:val="none"/>
                <w:lang w:val="en-GB" w:eastAsia="zh-CN"/>
              </w:rPr>
              <w:t>。</w:t>
            </w:r>
            <w:r>
              <w:rPr>
                <w:rFonts w:hint="eastAsia" w:ascii="宋体" w:hAnsi="宋体" w:cs="宋体"/>
                <w:bCs/>
                <w:highlight w:val="none"/>
                <w:lang w:val="en-GB"/>
              </w:rPr>
              <w:t xml:space="preserve"> </w:t>
            </w:r>
          </w:p>
          <w:p>
            <w:pPr>
              <w:adjustRightInd w:val="0"/>
              <w:snapToGrid w:val="0"/>
              <w:spacing w:afterLines="0" w:line="400" w:lineRule="exact"/>
              <w:ind w:firstLine="420" w:firstLineChars="200"/>
              <w:rPr>
                <w:rFonts w:hint="eastAsia" w:ascii="宋体" w:hAnsi="宋体" w:cs="宋体"/>
                <w:bCs/>
                <w:highlight w:val="none"/>
                <w:lang w:val="en-GB"/>
              </w:rPr>
            </w:pPr>
            <w:r>
              <w:rPr>
                <w:rFonts w:hint="eastAsia" w:ascii="宋体" w:hAnsi="宋体" w:cs="宋体"/>
                <w:bCs/>
                <w:highlight w:val="none"/>
              </w:rPr>
              <w:t>8</w:t>
            </w:r>
            <w:r>
              <w:rPr>
                <w:rFonts w:hint="eastAsia" w:ascii="宋体" w:hAnsi="宋体" w:cs="宋体"/>
                <w:bCs/>
                <w:highlight w:val="none"/>
                <w:lang w:val="en-GB"/>
              </w:rPr>
              <w:t>.开启投标文件大袋，宣读投标人名称、投标报价及其他内容，并记录在案</w:t>
            </w:r>
            <w:r>
              <w:rPr>
                <w:rFonts w:hint="eastAsia" w:ascii="宋体" w:hAnsi="宋体" w:cs="宋体"/>
                <w:bCs/>
                <w:highlight w:val="none"/>
                <w:lang w:val="en-GB" w:eastAsia="zh-CN"/>
              </w:rPr>
              <w:t>。</w:t>
            </w:r>
          </w:p>
          <w:p>
            <w:pPr>
              <w:adjustRightInd w:val="0"/>
              <w:snapToGrid w:val="0"/>
              <w:spacing w:afterLines="0" w:line="400" w:lineRule="exact"/>
              <w:ind w:firstLine="420" w:firstLineChars="200"/>
              <w:rPr>
                <w:rFonts w:hint="eastAsia" w:ascii="宋体" w:hAnsi="宋体" w:cs="宋体"/>
                <w:bCs/>
                <w:highlight w:val="none"/>
                <w:lang w:val="en-GB"/>
              </w:rPr>
            </w:pPr>
            <w:r>
              <w:rPr>
                <w:rFonts w:hint="eastAsia" w:ascii="宋体" w:hAnsi="宋体" w:cs="宋体"/>
                <w:bCs/>
                <w:highlight w:val="none"/>
              </w:rPr>
              <w:t>9</w:t>
            </w:r>
            <w:r>
              <w:rPr>
                <w:rFonts w:hint="eastAsia" w:ascii="宋体" w:hAnsi="宋体" w:cs="宋体"/>
                <w:bCs/>
                <w:highlight w:val="none"/>
                <w:lang w:val="en-GB"/>
              </w:rPr>
              <w:t>.各投标人代表、招标人代表、监标人、记录人等有关人员在开标记录上签名。</w:t>
            </w:r>
          </w:p>
          <w:p>
            <w:pPr>
              <w:adjustRightInd w:val="0"/>
              <w:snapToGrid w:val="0"/>
              <w:spacing w:afterLines="0" w:line="400" w:lineRule="exact"/>
              <w:ind w:firstLine="420" w:firstLineChars="200"/>
              <w:jc w:val="left"/>
              <w:rPr>
                <w:rFonts w:hint="eastAsia" w:ascii="宋体" w:hAnsi="宋体" w:cs="宋体"/>
                <w:kern w:val="0"/>
                <w:szCs w:val="21"/>
                <w:highlight w:val="none"/>
              </w:rPr>
            </w:pPr>
            <w:r>
              <w:rPr>
                <w:rFonts w:hint="eastAsia" w:ascii="宋体" w:hAnsi="宋体" w:cs="宋体"/>
                <w:bCs/>
                <w:highlight w:val="none"/>
              </w:rPr>
              <w:t>10</w:t>
            </w:r>
            <w:r>
              <w:rPr>
                <w:rFonts w:hint="eastAsia" w:ascii="宋体" w:hAnsi="宋体" w:cs="宋体"/>
                <w:bCs/>
                <w:highlight w:val="none"/>
                <w:lang w:val="en-GB"/>
              </w:rPr>
              <w:t>.开标结束。</w:t>
            </w:r>
          </w:p>
        </w:tc>
      </w:tr>
      <w:tr>
        <w:tblPrEx>
          <w:tblLayout w:type="fixed"/>
          <w:tblCellMar>
            <w:top w:w="0" w:type="dxa"/>
            <w:left w:w="0" w:type="dxa"/>
            <w:bottom w:w="0" w:type="dxa"/>
            <w:right w:w="0" w:type="dxa"/>
          </w:tblCellMar>
        </w:tblPrEx>
        <w:trPr>
          <w:jc w:val="center"/>
        </w:trPr>
        <w:tc>
          <w:tcPr>
            <w:tcW w:w="11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jc w:val="center"/>
              <w:rPr>
                <w:rFonts w:hint="eastAsia" w:ascii="宋体" w:hAnsi="宋体" w:cs="宋体"/>
                <w:kern w:val="0"/>
                <w:szCs w:val="21"/>
                <w:highlight w:val="none"/>
              </w:rPr>
            </w:pPr>
            <w:r>
              <w:rPr>
                <w:rFonts w:hint="eastAsia" w:ascii="宋体" w:hAnsi="宋体" w:cs="宋体"/>
                <w:kern w:val="0"/>
                <w:szCs w:val="21"/>
                <w:highlight w:val="none"/>
              </w:rPr>
              <w:t>6.1.1</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ind w:hanging="8"/>
              <w:jc w:val="center"/>
              <w:rPr>
                <w:rFonts w:hint="eastAsia" w:ascii="宋体" w:hAnsi="宋体" w:cs="宋体"/>
                <w:kern w:val="0"/>
                <w:szCs w:val="21"/>
                <w:highlight w:val="none"/>
              </w:rPr>
            </w:pPr>
            <w:r>
              <w:rPr>
                <w:rFonts w:hint="eastAsia" w:ascii="宋体" w:hAnsi="宋体" w:cs="宋体"/>
                <w:kern w:val="0"/>
                <w:szCs w:val="21"/>
                <w:highlight w:val="none"/>
              </w:rPr>
              <w:t>评标</w:t>
            </w:r>
            <w:r>
              <w:rPr>
                <w:rFonts w:hint="eastAsia" w:ascii="宋体" w:hAnsi="宋体" w:cs="宋体"/>
                <w:spacing w:val="-2"/>
                <w:kern w:val="0"/>
                <w:szCs w:val="21"/>
                <w:highlight w:val="none"/>
              </w:rPr>
              <w:t>委</w:t>
            </w:r>
            <w:r>
              <w:rPr>
                <w:rFonts w:hint="eastAsia" w:ascii="宋体" w:hAnsi="宋体" w:cs="宋体"/>
                <w:kern w:val="0"/>
                <w:szCs w:val="21"/>
                <w:highlight w:val="none"/>
              </w:rPr>
              <w:t>员</w:t>
            </w:r>
            <w:r>
              <w:rPr>
                <w:rFonts w:hint="eastAsia" w:ascii="宋体" w:hAnsi="宋体" w:cs="宋体"/>
                <w:spacing w:val="-2"/>
                <w:kern w:val="0"/>
                <w:szCs w:val="21"/>
                <w:highlight w:val="none"/>
              </w:rPr>
              <w:t>会</w:t>
            </w:r>
            <w:r>
              <w:rPr>
                <w:rFonts w:hint="eastAsia" w:ascii="宋体" w:hAnsi="宋体" w:cs="宋体"/>
                <w:kern w:val="0"/>
                <w:szCs w:val="21"/>
                <w:highlight w:val="none"/>
              </w:rPr>
              <w:t>的</w:t>
            </w:r>
            <w:r>
              <w:rPr>
                <w:rFonts w:hint="eastAsia" w:ascii="宋体" w:hAnsi="宋体" w:cs="宋体"/>
                <w:spacing w:val="-2"/>
                <w:kern w:val="0"/>
                <w:szCs w:val="21"/>
                <w:highlight w:val="none"/>
              </w:rPr>
              <w:t>组</w:t>
            </w:r>
            <w:r>
              <w:rPr>
                <w:rFonts w:hint="eastAsia" w:ascii="宋体" w:hAnsi="宋体" w:cs="宋体"/>
                <w:kern w:val="0"/>
                <w:szCs w:val="21"/>
                <w:highlight w:val="none"/>
              </w:rPr>
              <w:t>建</w:t>
            </w:r>
          </w:p>
        </w:tc>
        <w:tc>
          <w:tcPr>
            <w:tcW w:w="6458" w:type="dxa"/>
            <w:tcBorders>
              <w:top w:val="single" w:color="000000" w:sz="4" w:space="0"/>
              <w:left w:val="single" w:color="000000" w:sz="4" w:space="0"/>
              <w:bottom w:val="single" w:color="000000" w:sz="4" w:space="0"/>
              <w:right w:val="single" w:color="000000" w:sz="4" w:space="0"/>
            </w:tcBorders>
            <w:vAlign w:val="center"/>
          </w:tcPr>
          <w:p>
            <w:pPr>
              <w:tabs>
                <w:tab w:val="left" w:pos="2300"/>
                <w:tab w:val="left" w:pos="2720"/>
                <w:tab w:val="left" w:pos="3820"/>
              </w:tabs>
              <w:autoSpaceDE w:val="0"/>
              <w:autoSpaceDN w:val="0"/>
              <w:adjustRightInd w:val="0"/>
              <w:snapToGrid w:val="0"/>
              <w:spacing w:afterLines="0" w:line="400" w:lineRule="exact"/>
              <w:ind w:firstLine="420" w:firstLineChars="200"/>
              <w:jc w:val="left"/>
              <w:rPr>
                <w:rFonts w:hint="eastAsia" w:ascii="宋体" w:hAnsi="宋体" w:cs="宋体"/>
                <w:kern w:val="0"/>
                <w:szCs w:val="21"/>
                <w:highlight w:val="none"/>
              </w:rPr>
            </w:pPr>
            <w:r>
              <w:rPr>
                <w:rFonts w:hint="eastAsia" w:cs="Arial"/>
                <w:bCs/>
                <w:highlight w:val="none"/>
                <w:lang w:val="en-GB"/>
              </w:rPr>
              <w:t>由招标人依法按相关法律法规和规范性文件依法组建。</w:t>
            </w:r>
          </w:p>
        </w:tc>
      </w:tr>
      <w:tr>
        <w:tblPrEx>
          <w:tblLayout w:type="fixed"/>
          <w:tblCellMar>
            <w:top w:w="0" w:type="dxa"/>
            <w:left w:w="0" w:type="dxa"/>
            <w:bottom w:w="0" w:type="dxa"/>
            <w:right w:w="0" w:type="dxa"/>
          </w:tblCellMar>
        </w:tblPrEx>
        <w:trPr>
          <w:jc w:val="center"/>
        </w:trPr>
        <w:tc>
          <w:tcPr>
            <w:tcW w:w="11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jc w:val="center"/>
              <w:rPr>
                <w:rFonts w:hint="eastAsia" w:ascii="宋体" w:hAnsi="宋体" w:cs="宋体"/>
                <w:kern w:val="0"/>
                <w:szCs w:val="21"/>
                <w:highlight w:val="none"/>
              </w:rPr>
            </w:pPr>
            <w:r>
              <w:rPr>
                <w:rFonts w:hint="eastAsia" w:ascii="宋体" w:hAnsi="宋体" w:cs="宋体"/>
                <w:kern w:val="0"/>
                <w:szCs w:val="21"/>
                <w:highlight w:val="none"/>
              </w:rPr>
              <w:t>6.3.2</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ind w:hanging="8"/>
              <w:jc w:val="center"/>
              <w:rPr>
                <w:rFonts w:hint="eastAsia" w:ascii="宋体" w:hAnsi="宋体" w:cs="宋体"/>
                <w:kern w:val="0"/>
                <w:szCs w:val="21"/>
                <w:highlight w:val="none"/>
              </w:rPr>
            </w:pPr>
            <w:r>
              <w:rPr>
                <w:highlight w:val="none"/>
              </w:rPr>
              <w:t>评标委员会推荐中标候选人</w:t>
            </w:r>
          </w:p>
        </w:tc>
        <w:tc>
          <w:tcPr>
            <w:tcW w:w="645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推荐经评审综合得分由高到低排名前</w:t>
            </w:r>
            <w:r>
              <w:rPr>
                <w:rFonts w:hint="eastAsia" w:ascii="宋体" w:hAnsi="宋体" w:cs="宋体"/>
                <w:szCs w:val="21"/>
                <w:highlight w:val="none"/>
              </w:rPr>
              <w:t>1-3名</w:t>
            </w:r>
            <w:r>
              <w:rPr>
                <w:rFonts w:hint="eastAsia" w:ascii="宋体" w:hAnsi="宋体" w:cs="宋体"/>
                <w:kern w:val="0"/>
                <w:szCs w:val="21"/>
                <w:highlight w:val="none"/>
              </w:rPr>
              <w:t>为中标候选人。</w:t>
            </w:r>
          </w:p>
        </w:tc>
      </w:tr>
      <w:tr>
        <w:tblPrEx>
          <w:tblLayout w:type="fixed"/>
          <w:tblCellMar>
            <w:top w:w="0" w:type="dxa"/>
            <w:left w:w="0" w:type="dxa"/>
            <w:bottom w:w="0" w:type="dxa"/>
            <w:right w:w="0" w:type="dxa"/>
          </w:tblCellMar>
        </w:tblPrEx>
        <w:trPr>
          <w:jc w:val="center"/>
        </w:trPr>
        <w:tc>
          <w:tcPr>
            <w:tcW w:w="11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jc w:val="center"/>
              <w:rPr>
                <w:rFonts w:hint="eastAsia" w:ascii="宋体" w:hAnsi="宋体" w:cs="宋体"/>
                <w:kern w:val="0"/>
                <w:szCs w:val="21"/>
                <w:highlight w:val="none"/>
              </w:rPr>
            </w:pPr>
            <w:r>
              <w:rPr>
                <w:rFonts w:hint="eastAsia" w:ascii="宋体" w:hAnsi="宋体" w:cs="宋体"/>
                <w:kern w:val="0"/>
                <w:szCs w:val="21"/>
                <w:highlight w:val="none"/>
              </w:rPr>
              <w:t>7.1</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ind w:hanging="8"/>
              <w:jc w:val="center"/>
              <w:rPr>
                <w:rFonts w:hint="eastAsia" w:ascii="宋体" w:hAnsi="宋体" w:cs="宋体"/>
                <w:kern w:val="0"/>
                <w:szCs w:val="21"/>
                <w:highlight w:val="none"/>
              </w:rPr>
            </w:pPr>
            <w:r>
              <w:rPr>
                <w:rFonts w:hint="eastAsia" w:ascii="宋体" w:hAnsi="宋体" w:cs="宋体"/>
                <w:kern w:val="0"/>
                <w:szCs w:val="21"/>
                <w:highlight w:val="none"/>
              </w:rPr>
              <w:t>中标</w:t>
            </w:r>
            <w:r>
              <w:rPr>
                <w:rFonts w:hint="eastAsia" w:ascii="宋体" w:hAnsi="宋体" w:cs="宋体"/>
                <w:spacing w:val="-2"/>
                <w:kern w:val="0"/>
                <w:szCs w:val="21"/>
                <w:highlight w:val="none"/>
              </w:rPr>
              <w:t>候</w:t>
            </w:r>
            <w:r>
              <w:rPr>
                <w:rFonts w:hint="eastAsia" w:ascii="宋体" w:hAnsi="宋体" w:cs="宋体"/>
                <w:kern w:val="0"/>
                <w:szCs w:val="21"/>
                <w:highlight w:val="none"/>
              </w:rPr>
              <w:t>选</w:t>
            </w:r>
            <w:r>
              <w:rPr>
                <w:rFonts w:hint="eastAsia" w:ascii="宋体" w:hAnsi="宋体" w:cs="宋体"/>
                <w:spacing w:val="-2"/>
                <w:kern w:val="0"/>
                <w:szCs w:val="21"/>
                <w:highlight w:val="none"/>
              </w:rPr>
              <w:t>人</w:t>
            </w:r>
            <w:r>
              <w:rPr>
                <w:rFonts w:hint="eastAsia" w:ascii="宋体" w:hAnsi="宋体" w:cs="宋体"/>
                <w:kern w:val="0"/>
                <w:szCs w:val="21"/>
                <w:highlight w:val="none"/>
              </w:rPr>
              <w:t>公</w:t>
            </w:r>
            <w:r>
              <w:rPr>
                <w:rFonts w:hint="eastAsia" w:ascii="宋体" w:hAnsi="宋体" w:cs="宋体"/>
                <w:spacing w:val="-2"/>
                <w:kern w:val="0"/>
                <w:szCs w:val="21"/>
                <w:highlight w:val="none"/>
              </w:rPr>
              <w:t>示</w:t>
            </w:r>
          </w:p>
        </w:tc>
        <w:tc>
          <w:tcPr>
            <w:tcW w:w="645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ind w:firstLine="420" w:firstLineChars="200"/>
              <w:jc w:val="left"/>
              <w:rPr>
                <w:rFonts w:hint="eastAsia" w:ascii="宋体" w:hAnsi="宋体" w:cs="宋体"/>
                <w:szCs w:val="21"/>
                <w:highlight w:val="none"/>
              </w:rPr>
            </w:pPr>
            <w:r>
              <w:rPr>
                <w:rFonts w:hint="eastAsia" w:cs="Arial"/>
                <w:bCs/>
                <w:highlight w:val="none"/>
                <w:lang w:val="en-GB"/>
              </w:rPr>
              <w:t>中标结果将在《中国招标投标公共服务平台》和《重庆市公共资源交易网》公示三日，请各投标单位自行查询。公示期结束没有收到在本次招投标过程中有违法行为投诉或相关质疑、或投诉质疑不成立的，招标人将按规定发出中标通知书。</w:t>
            </w:r>
          </w:p>
        </w:tc>
      </w:tr>
      <w:tr>
        <w:tblPrEx>
          <w:tblLayout w:type="fixed"/>
          <w:tblCellMar>
            <w:top w:w="0" w:type="dxa"/>
            <w:left w:w="0" w:type="dxa"/>
            <w:bottom w:w="0" w:type="dxa"/>
            <w:right w:w="0" w:type="dxa"/>
          </w:tblCellMar>
        </w:tblPrEx>
        <w:trPr>
          <w:jc w:val="center"/>
        </w:trPr>
        <w:tc>
          <w:tcPr>
            <w:tcW w:w="1164" w:type="dxa"/>
            <w:tcBorders>
              <w:top w:val="single" w:color="000000" w:sz="4" w:space="0"/>
              <w:left w:val="single" w:color="000000" w:sz="4" w:space="0"/>
              <w:bottom w:val="single" w:color="000000" w:sz="4" w:space="0"/>
              <w:right w:val="single" w:color="000000" w:sz="4" w:space="0"/>
            </w:tcBorders>
            <w:vAlign w:val="center"/>
          </w:tcPr>
          <w:p>
            <w:pPr>
              <w:snapToGrid w:val="0"/>
              <w:spacing w:afterLines="0" w:line="400" w:lineRule="exact"/>
              <w:jc w:val="center"/>
              <w:rPr>
                <w:rFonts w:hint="eastAsia" w:ascii="宋体" w:hAnsi="宋体" w:cs="宋体"/>
                <w:kern w:val="0"/>
                <w:szCs w:val="21"/>
                <w:highlight w:val="none"/>
              </w:rPr>
            </w:pPr>
            <w:r>
              <w:rPr>
                <w:rFonts w:hint="eastAsia" w:ascii="宋体" w:hAnsi="宋体" w:cs="宋体"/>
                <w:highlight w:val="none"/>
              </w:rPr>
              <w:t>7.2</w:t>
            </w: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spacing w:afterLines="0" w:line="400" w:lineRule="exact"/>
              <w:jc w:val="center"/>
              <w:rPr>
                <w:rFonts w:hint="eastAsia" w:ascii="宋体" w:hAnsi="宋体" w:cs="宋体"/>
                <w:kern w:val="0"/>
                <w:szCs w:val="21"/>
                <w:highlight w:val="none"/>
              </w:rPr>
            </w:pPr>
            <w:r>
              <w:rPr>
                <w:rFonts w:hint="eastAsia" w:ascii="宋体" w:hAnsi="宋体" w:cs="宋体"/>
                <w:highlight w:val="none"/>
              </w:rPr>
              <w:t>评标结果异议提交渠道</w:t>
            </w:r>
          </w:p>
        </w:tc>
        <w:tc>
          <w:tcPr>
            <w:tcW w:w="645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ind w:firstLine="420" w:firstLineChars="200"/>
              <w:jc w:val="left"/>
              <w:rPr>
                <w:rFonts w:hint="eastAsia" w:ascii="宋体" w:hAnsi="宋体" w:cs="宋体"/>
                <w:bCs/>
                <w:highlight w:val="none"/>
                <w:lang w:val="en-GB"/>
              </w:rPr>
            </w:pPr>
            <w:r>
              <w:rPr>
                <w:rFonts w:hint="eastAsia" w:ascii="宋体" w:hAnsi="宋体" w:cs="宋体"/>
                <w:bCs/>
                <w:highlight w:val="none"/>
                <w:lang w:val="en-GB"/>
              </w:rPr>
              <w:t>对结果的异议应按相关要求向招标人（重庆机场集团有限公司）和监督部门（重庆机场集团有限公司审计法务部）同时提交。</w:t>
            </w:r>
          </w:p>
          <w:p>
            <w:pPr>
              <w:autoSpaceDE w:val="0"/>
              <w:autoSpaceDN w:val="0"/>
              <w:adjustRightInd w:val="0"/>
              <w:snapToGrid w:val="0"/>
              <w:spacing w:afterLines="0" w:line="400" w:lineRule="exact"/>
              <w:ind w:firstLine="420" w:firstLineChars="200"/>
              <w:jc w:val="left"/>
              <w:rPr>
                <w:rFonts w:hint="eastAsia" w:ascii="宋体" w:hAnsi="宋体" w:cs="宋体"/>
                <w:bCs/>
                <w:highlight w:val="none"/>
                <w:lang w:val="en-GB"/>
              </w:rPr>
            </w:pPr>
            <w:r>
              <w:rPr>
                <w:rFonts w:hint="eastAsia" w:ascii="宋体" w:hAnsi="宋体" w:cs="宋体"/>
                <w:bCs/>
                <w:highlight w:val="none"/>
                <w:lang w:val="en-GB"/>
              </w:rPr>
              <w:t>招标人：重庆机场集团有限公司</w:t>
            </w:r>
          </w:p>
          <w:p>
            <w:pPr>
              <w:autoSpaceDE w:val="0"/>
              <w:autoSpaceDN w:val="0"/>
              <w:adjustRightInd w:val="0"/>
              <w:snapToGrid w:val="0"/>
              <w:spacing w:afterLines="0" w:line="400" w:lineRule="exact"/>
              <w:ind w:firstLine="420" w:firstLineChars="200"/>
              <w:jc w:val="left"/>
              <w:rPr>
                <w:rFonts w:hint="eastAsia" w:ascii="宋体" w:hAnsi="宋体" w:cs="宋体"/>
                <w:bCs/>
                <w:highlight w:val="none"/>
                <w:lang w:val="en-GB"/>
              </w:rPr>
            </w:pPr>
            <w:r>
              <w:rPr>
                <w:rFonts w:hint="eastAsia" w:ascii="宋体" w:hAnsi="宋体" w:cs="宋体"/>
                <w:bCs/>
                <w:highlight w:val="none"/>
                <w:lang w:val="en-GB"/>
              </w:rPr>
              <w:t>地址：重庆市渝北区机场东二路19号重庆机场集团有限公司办公楼6010办公室</w:t>
            </w:r>
          </w:p>
          <w:p>
            <w:pPr>
              <w:autoSpaceDE w:val="0"/>
              <w:autoSpaceDN w:val="0"/>
              <w:adjustRightInd w:val="0"/>
              <w:snapToGrid w:val="0"/>
              <w:spacing w:afterLines="0" w:line="400" w:lineRule="exact"/>
              <w:ind w:firstLine="420" w:firstLineChars="200"/>
              <w:jc w:val="left"/>
              <w:rPr>
                <w:rFonts w:hint="eastAsia" w:ascii="宋体" w:hAnsi="宋体" w:cs="宋体"/>
                <w:bCs/>
                <w:highlight w:val="none"/>
                <w:lang w:val="en-GB"/>
              </w:rPr>
            </w:pPr>
            <w:r>
              <w:rPr>
                <w:rFonts w:hint="eastAsia" w:ascii="宋体" w:hAnsi="宋体" w:cs="宋体"/>
                <w:bCs/>
                <w:highlight w:val="none"/>
                <w:lang w:val="en-GB"/>
              </w:rPr>
              <w:t>联系电话：023-67153238</w:t>
            </w:r>
          </w:p>
          <w:p>
            <w:pPr>
              <w:autoSpaceDE w:val="0"/>
              <w:autoSpaceDN w:val="0"/>
              <w:adjustRightInd w:val="0"/>
              <w:snapToGrid w:val="0"/>
              <w:spacing w:afterLines="0" w:line="400" w:lineRule="exact"/>
              <w:ind w:firstLine="420" w:firstLineChars="200"/>
              <w:jc w:val="left"/>
              <w:rPr>
                <w:rFonts w:hint="eastAsia" w:ascii="宋体" w:hAnsi="宋体" w:cs="宋体"/>
                <w:bCs/>
                <w:highlight w:val="none"/>
                <w:lang w:val="en-GB"/>
              </w:rPr>
            </w:pPr>
            <w:r>
              <w:rPr>
                <w:rFonts w:hint="eastAsia" w:ascii="宋体" w:hAnsi="宋体" w:cs="宋体"/>
                <w:bCs/>
                <w:highlight w:val="none"/>
                <w:lang w:val="en-GB"/>
              </w:rPr>
              <w:t>监督部门：重庆机场集团有限公司审计法务部</w:t>
            </w:r>
          </w:p>
          <w:p>
            <w:pPr>
              <w:autoSpaceDE w:val="0"/>
              <w:autoSpaceDN w:val="0"/>
              <w:adjustRightInd w:val="0"/>
              <w:snapToGrid w:val="0"/>
              <w:spacing w:afterLines="0" w:line="400" w:lineRule="exact"/>
              <w:ind w:firstLine="420" w:firstLineChars="200"/>
              <w:jc w:val="left"/>
              <w:rPr>
                <w:rFonts w:hint="eastAsia" w:ascii="宋体" w:hAnsi="宋体" w:cs="宋体"/>
                <w:bCs/>
                <w:highlight w:val="none"/>
                <w:lang w:val="en-GB"/>
              </w:rPr>
            </w:pPr>
            <w:r>
              <w:rPr>
                <w:rFonts w:hint="eastAsia" w:ascii="宋体" w:hAnsi="宋体" w:cs="宋体"/>
                <w:bCs/>
                <w:highlight w:val="none"/>
                <w:lang w:val="en-GB"/>
              </w:rPr>
              <w:t>地址：重庆市渝北区机场东二路19号重庆机场集团有限公司办公楼8008办公室</w:t>
            </w:r>
          </w:p>
          <w:p>
            <w:pPr>
              <w:autoSpaceDE w:val="0"/>
              <w:autoSpaceDN w:val="0"/>
              <w:adjustRightInd w:val="0"/>
              <w:snapToGrid w:val="0"/>
              <w:spacing w:afterLines="0" w:line="400" w:lineRule="exact"/>
              <w:ind w:firstLine="420" w:firstLineChars="200"/>
              <w:jc w:val="left"/>
              <w:rPr>
                <w:rFonts w:hint="eastAsia" w:ascii="宋体" w:hAnsi="宋体" w:cs="宋体"/>
                <w:highlight w:val="none"/>
              </w:rPr>
            </w:pPr>
            <w:r>
              <w:rPr>
                <w:rFonts w:hint="eastAsia" w:ascii="宋体" w:hAnsi="宋体" w:cs="宋体"/>
                <w:bCs/>
                <w:highlight w:val="none"/>
                <w:lang w:val="en-GB"/>
              </w:rPr>
              <w:t>联系电话：023-67153979。</w:t>
            </w:r>
          </w:p>
        </w:tc>
      </w:tr>
      <w:tr>
        <w:tblPrEx>
          <w:tblLayout w:type="fixed"/>
          <w:tblCellMar>
            <w:top w:w="0" w:type="dxa"/>
            <w:left w:w="0" w:type="dxa"/>
            <w:bottom w:w="0" w:type="dxa"/>
            <w:right w:w="0" w:type="dxa"/>
          </w:tblCellMar>
        </w:tblPrEx>
        <w:trPr>
          <w:jc w:val="center"/>
        </w:trPr>
        <w:tc>
          <w:tcPr>
            <w:tcW w:w="11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jc w:val="center"/>
              <w:rPr>
                <w:rFonts w:hint="eastAsia" w:ascii="宋体" w:hAnsi="宋体" w:cs="宋体"/>
                <w:kern w:val="0"/>
                <w:szCs w:val="21"/>
                <w:highlight w:val="none"/>
              </w:rPr>
            </w:pPr>
            <w:r>
              <w:rPr>
                <w:rFonts w:hint="eastAsia" w:ascii="宋体" w:hAnsi="宋体" w:cs="宋体"/>
                <w:kern w:val="0"/>
                <w:szCs w:val="21"/>
                <w:highlight w:val="none"/>
              </w:rPr>
              <w:t>7.4</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ind w:hanging="8"/>
              <w:jc w:val="center"/>
              <w:rPr>
                <w:rFonts w:hint="eastAsia" w:ascii="宋体" w:hAnsi="宋体" w:cs="宋体"/>
                <w:kern w:val="0"/>
                <w:szCs w:val="21"/>
                <w:highlight w:val="none"/>
              </w:rPr>
            </w:pPr>
            <w:r>
              <w:rPr>
                <w:rFonts w:hint="eastAsia" w:ascii="宋体" w:hAnsi="宋体" w:cs="宋体"/>
                <w:kern w:val="0"/>
                <w:szCs w:val="21"/>
                <w:highlight w:val="none"/>
              </w:rPr>
              <w:t>是否</w:t>
            </w:r>
            <w:r>
              <w:rPr>
                <w:rFonts w:hint="eastAsia" w:ascii="宋体" w:hAnsi="宋体" w:cs="宋体"/>
                <w:spacing w:val="-2"/>
                <w:kern w:val="0"/>
                <w:szCs w:val="21"/>
                <w:highlight w:val="none"/>
              </w:rPr>
              <w:t>授</w:t>
            </w:r>
            <w:r>
              <w:rPr>
                <w:rFonts w:hint="eastAsia" w:ascii="宋体" w:hAnsi="宋体" w:cs="宋体"/>
                <w:kern w:val="0"/>
                <w:szCs w:val="21"/>
                <w:highlight w:val="none"/>
              </w:rPr>
              <w:t>权</w:t>
            </w:r>
            <w:r>
              <w:rPr>
                <w:rFonts w:hint="eastAsia" w:ascii="宋体" w:hAnsi="宋体" w:cs="宋体"/>
                <w:spacing w:val="-2"/>
                <w:kern w:val="0"/>
                <w:szCs w:val="21"/>
                <w:highlight w:val="none"/>
              </w:rPr>
              <w:t>评</w:t>
            </w:r>
            <w:r>
              <w:rPr>
                <w:rFonts w:hint="eastAsia" w:ascii="宋体" w:hAnsi="宋体" w:cs="宋体"/>
                <w:kern w:val="0"/>
                <w:szCs w:val="21"/>
                <w:highlight w:val="none"/>
              </w:rPr>
              <w:t>标</w:t>
            </w:r>
            <w:r>
              <w:rPr>
                <w:rFonts w:hint="eastAsia" w:ascii="宋体" w:hAnsi="宋体" w:cs="宋体"/>
                <w:spacing w:val="-2"/>
                <w:kern w:val="0"/>
                <w:szCs w:val="21"/>
                <w:highlight w:val="none"/>
              </w:rPr>
              <w:t>委</w:t>
            </w:r>
            <w:r>
              <w:rPr>
                <w:rFonts w:hint="eastAsia" w:ascii="宋体" w:hAnsi="宋体" w:cs="宋体"/>
                <w:kern w:val="0"/>
                <w:szCs w:val="21"/>
                <w:highlight w:val="none"/>
              </w:rPr>
              <w:t>员</w:t>
            </w:r>
            <w:r>
              <w:rPr>
                <w:rFonts w:hint="eastAsia" w:ascii="宋体" w:hAnsi="宋体" w:cs="宋体"/>
                <w:spacing w:val="-2"/>
                <w:kern w:val="0"/>
                <w:szCs w:val="21"/>
                <w:highlight w:val="none"/>
              </w:rPr>
              <w:t>会</w:t>
            </w:r>
            <w:r>
              <w:rPr>
                <w:rFonts w:hint="eastAsia" w:ascii="宋体" w:hAnsi="宋体" w:cs="宋体"/>
                <w:kern w:val="0"/>
                <w:szCs w:val="21"/>
                <w:highlight w:val="none"/>
              </w:rPr>
              <w:t>确</w:t>
            </w:r>
            <w:r>
              <w:rPr>
                <w:rFonts w:hint="eastAsia" w:ascii="宋体" w:hAnsi="宋体" w:cs="宋体"/>
                <w:spacing w:val="-2"/>
                <w:kern w:val="0"/>
                <w:szCs w:val="21"/>
                <w:highlight w:val="none"/>
              </w:rPr>
              <w:t>定</w:t>
            </w:r>
            <w:r>
              <w:rPr>
                <w:rFonts w:hint="eastAsia" w:ascii="宋体" w:hAnsi="宋体" w:cs="宋体"/>
                <w:kern w:val="0"/>
                <w:szCs w:val="21"/>
                <w:highlight w:val="none"/>
              </w:rPr>
              <w:t>中标人</w:t>
            </w:r>
          </w:p>
        </w:tc>
        <w:tc>
          <w:tcPr>
            <w:tcW w:w="645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否，评标委员会按照得分由高到低的顺序依次推荐前1-3名为中标候选人。</w:t>
            </w:r>
          </w:p>
        </w:tc>
      </w:tr>
      <w:tr>
        <w:tblPrEx>
          <w:tblLayout w:type="fixed"/>
          <w:tblCellMar>
            <w:top w:w="0" w:type="dxa"/>
            <w:left w:w="0" w:type="dxa"/>
            <w:bottom w:w="0" w:type="dxa"/>
            <w:right w:w="0" w:type="dxa"/>
          </w:tblCellMar>
        </w:tblPrEx>
        <w:trPr>
          <w:jc w:val="center"/>
        </w:trPr>
        <w:tc>
          <w:tcPr>
            <w:tcW w:w="11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jc w:val="center"/>
              <w:rPr>
                <w:rFonts w:hint="eastAsia" w:ascii="宋体" w:hAnsi="宋体" w:cs="宋体"/>
                <w:kern w:val="0"/>
                <w:szCs w:val="21"/>
                <w:highlight w:val="none"/>
              </w:rPr>
            </w:pPr>
            <w:r>
              <w:rPr>
                <w:rFonts w:hint="eastAsia" w:ascii="宋体" w:hAnsi="宋体" w:cs="宋体"/>
                <w:kern w:val="0"/>
                <w:szCs w:val="21"/>
                <w:highlight w:val="none"/>
              </w:rPr>
              <w:t>7.7.1</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ind w:hanging="8"/>
              <w:jc w:val="center"/>
              <w:rPr>
                <w:rFonts w:hint="eastAsia" w:ascii="宋体" w:hAnsi="宋体" w:cs="宋体"/>
                <w:kern w:val="0"/>
                <w:szCs w:val="21"/>
                <w:highlight w:val="none"/>
              </w:rPr>
            </w:pPr>
            <w:r>
              <w:rPr>
                <w:rFonts w:hint="eastAsia" w:ascii="宋体" w:hAnsi="宋体" w:cs="宋体"/>
                <w:kern w:val="0"/>
                <w:szCs w:val="21"/>
                <w:highlight w:val="none"/>
              </w:rPr>
              <w:t>履约</w:t>
            </w:r>
            <w:r>
              <w:rPr>
                <w:rFonts w:hint="eastAsia" w:ascii="宋体" w:hAnsi="宋体" w:cs="宋体"/>
                <w:spacing w:val="-2"/>
                <w:kern w:val="0"/>
                <w:szCs w:val="21"/>
                <w:highlight w:val="none"/>
              </w:rPr>
              <w:t>保</w:t>
            </w:r>
            <w:r>
              <w:rPr>
                <w:rFonts w:hint="eastAsia" w:ascii="宋体" w:hAnsi="宋体" w:cs="宋体"/>
                <w:kern w:val="0"/>
                <w:szCs w:val="21"/>
                <w:highlight w:val="none"/>
              </w:rPr>
              <w:t>证金</w:t>
            </w:r>
          </w:p>
        </w:tc>
        <w:tc>
          <w:tcPr>
            <w:tcW w:w="645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Lines="0"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 担保形式：银行转账或银行保函；采用银行保函形式的，保函必须为不可撤销且见索即付。</w:t>
            </w:r>
          </w:p>
          <w:p>
            <w:pPr>
              <w:adjustRightInd w:val="0"/>
              <w:snapToGrid w:val="0"/>
              <w:spacing w:afterLines="0"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 担保金额：合同总金额的5%</w:t>
            </w:r>
          </w:p>
          <w:p>
            <w:pPr>
              <w:adjustRightInd w:val="0"/>
              <w:snapToGrid w:val="0"/>
              <w:spacing w:afterLines="0"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 中标通知书发出5个工作日内以转账方式交到招标人指定银行账户或将银行保函交</w:t>
            </w:r>
            <w:r>
              <w:rPr>
                <w:rFonts w:hint="eastAsia" w:ascii="宋体" w:hAnsi="宋体" w:cs="宋体"/>
                <w:bCs/>
                <w:color w:val="auto"/>
                <w:szCs w:val="21"/>
                <w:highlight w:val="none"/>
                <w:lang w:eastAsia="zh-CN"/>
              </w:rPr>
              <w:t>给</w:t>
            </w:r>
            <w:r>
              <w:rPr>
                <w:rFonts w:hint="eastAsia" w:ascii="宋体" w:hAnsi="宋体" w:cs="宋体"/>
                <w:bCs/>
                <w:color w:val="auto"/>
                <w:szCs w:val="21"/>
                <w:highlight w:val="none"/>
              </w:rPr>
              <w:t>招标人。中标单位在合同履约过程中，未按招标书承诺提供产品或服务、给招标人造成重大安全事故、因自身原因无法履行合同</w:t>
            </w:r>
            <w:r>
              <w:rPr>
                <w:rFonts w:hint="eastAsia" w:ascii="宋体" w:hAnsi="宋体" w:cs="宋体"/>
                <w:bCs/>
                <w:color w:val="auto"/>
                <w:szCs w:val="21"/>
                <w:highlight w:val="none"/>
                <w:lang w:eastAsia="zh-CN"/>
              </w:rPr>
              <w:t>严重影响主体项目推进</w:t>
            </w:r>
            <w:r>
              <w:rPr>
                <w:rFonts w:hint="eastAsia" w:ascii="宋体" w:hAnsi="宋体" w:cs="宋体"/>
                <w:bCs/>
                <w:color w:val="auto"/>
                <w:szCs w:val="21"/>
                <w:highlight w:val="none"/>
              </w:rPr>
              <w:t>等情况，招标人有权终止合同，且不退还履约保证金。</w:t>
            </w:r>
          </w:p>
          <w:p>
            <w:pPr>
              <w:adjustRightInd w:val="0"/>
              <w:snapToGrid w:val="0"/>
              <w:spacing w:afterLines="0"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 合同约定的内容全部完成，由乙方向甲方提出退还申请后无息退还或返还银行保函；至中标单位提供有效收据之日起，招标人在</w:t>
            </w:r>
            <w:r>
              <w:rPr>
                <w:rFonts w:hint="default" w:ascii="宋体" w:hAnsi="宋体" w:cs="宋体"/>
                <w:bCs/>
                <w:color w:val="auto"/>
                <w:szCs w:val="21"/>
                <w:highlight w:val="none"/>
                <w:lang w:val="en-US"/>
              </w:rPr>
              <w:t>30个工作日</w:t>
            </w:r>
            <w:r>
              <w:rPr>
                <w:rFonts w:hint="eastAsia" w:ascii="宋体" w:hAnsi="宋体" w:cs="宋体"/>
                <w:bCs/>
                <w:color w:val="auto"/>
                <w:szCs w:val="21"/>
                <w:highlight w:val="none"/>
              </w:rPr>
              <w:t>内将履约保证金或银行保函一次性无息全额返还。</w:t>
            </w:r>
          </w:p>
          <w:p>
            <w:pPr>
              <w:adjustRightInd w:val="0"/>
              <w:snapToGrid w:val="0"/>
              <w:spacing w:afterLines="0"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 招标人银行账号信息：</w:t>
            </w:r>
          </w:p>
          <w:p>
            <w:pPr>
              <w:adjustRightInd w:val="0"/>
              <w:snapToGrid w:val="0"/>
              <w:spacing w:afterLines="0"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户名：重庆机场集团有限公司</w:t>
            </w:r>
          </w:p>
          <w:p>
            <w:pPr>
              <w:adjustRightInd w:val="0"/>
              <w:snapToGrid w:val="0"/>
              <w:spacing w:afterLines="0"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账号：50001083800050000447</w:t>
            </w:r>
          </w:p>
          <w:p>
            <w:pPr>
              <w:adjustRightInd w:val="0"/>
              <w:snapToGrid w:val="0"/>
              <w:spacing w:afterLines="0"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开户行：建设银行重庆渝北机场支行</w:t>
            </w:r>
          </w:p>
          <w:p>
            <w:pPr>
              <w:adjustRightInd w:val="0"/>
              <w:snapToGrid w:val="0"/>
              <w:spacing w:afterLines="0" w:line="400" w:lineRule="exact"/>
              <w:ind w:firstLine="420" w:firstLineChars="200"/>
              <w:rPr>
                <w:rFonts w:hint="eastAsia" w:ascii="宋体" w:hAnsi="宋体" w:cs="宋体"/>
                <w:szCs w:val="21"/>
                <w:highlight w:val="none"/>
              </w:rPr>
            </w:pPr>
            <w:r>
              <w:rPr>
                <w:rFonts w:hint="eastAsia" w:ascii="宋体" w:hAnsi="宋体" w:cs="宋体"/>
                <w:bCs/>
                <w:color w:val="auto"/>
                <w:szCs w:val="21"/>
                <w:highlight w:val="none"/>
              </w:rPr>
              <w:t>注：履约保证金退还不计利息，按专用合同条款规定的违约扣除部分不予退还。</w:t>
            </w:r>
          </w:p>
        </w:tc>
      </w:tr>
      <w:tr>
        <w:tblPrEx>
          <w:tblLayout w:type="fixed"/>
          <w:tblCellMar>
            <w:top w:w="0" w:type="dxa"/>
            <w:left w:w="0" w:type="dxa"/>
            <w:bottom w:w="0" w:type="dxa"/>
            <w:right w:w="0" w:type="dxa"/>
          </w:tblCellMar>
        </w:tblPrEx>
        <w:trPr>
          <w:trHeight w:val="90" w:hRule="atLeast"/>
          <w:jc w:val="center"/>
        </w:trPr>
        <w:tc>
          <w:tcPr>
            <w:tcW w:w="1164" w:type="dxa"/>
            <w:tcBorders>
              <w:top w:val="single" w:color="000000" w:sz="4" w:space="0"/>
              <w:left w:val="single" w:color="000000" w:sz="4" w:space="0"/>
              <w:bottom w:val="single" w:color="000000" w:sz="4" w:space="0"/>
              <w:right w:val="single" w:color="000000" w:sz="4" w:space="0"/>
            </w:tcBorders>
            <w:vAlign w:val="center"/>
          </w:tcPr>
          <w:p>
            <w:pPr>
              <w:snapToGrid w:val="0"/>
              <w:spacing w:afterLines="0" w:line="400" w:lineRule="exact"/>
              <w:jc w:val="center"/>
              <w:rPr>
                <w:rFonts w:hint="eastAsia" w:ascii="宋体" w:hAnsi="宋体" w:cs="宋体"/>
                <w:kern w:val="0"/>
                <w:szCs w:val="21"/>
                <w:highlight w:val="none"/>
              </w:rPr>
            </w:pPr>
            <w:r>
              <w:rPr>
                <w:rFonts w:ascii="宋体" w:hAnsi="宋体"/>
                <w:kern w:val="0"/>
                <w:szCs w:val="21"/>
                <w:highlight w:val="none"/>
              </w:rPr>
              <w:t>8.1</w:t>
            </w: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spacing w:afterLines="0" w:line="400" w:lineRule="exact"/>
              <w:jc w:val="center"/>
              <w:rPr>
                <w:rFonts w:hint="eastAsia" w:ascii="宋体" w:hAnsi="宋体" w:cs="宋体"/>
                <w:kern w:val="0"/>
                <w:szCs w:val="21"/>
                <w:highlight w:val="none"/>
              </w:rPr>
            </w:pPr>
            <w:r>
              <w:rPr>
                <w:rFonts w:ascii="宋体" w:hAnsi="宋体"/>
                <w:kern w:val="0"/>
                <w:szCs w:val="21"/>
                <w:highlight w:val="none"/>
              </w:rPr>
              <w:t>重新招标</w:t>
            </w:r>
            <w:r>
              <w:rPr>
                <w:rFonts w:hint="eastAsia" w:ascii="宋体" w:hAnsi="宋体"/>
                <w:kern w:val="0"/>
                <w:szCs w:val="21"/>
                <w:highlight w:val="none"/>
              </w:rPr>
              <w:t>的情形</w:t>
            </w:r>
          </w:p>
        </w:tc>
        <w:tc>
          <w:tcPr>
            <w:tcW w:w="6458" w:type="dxa"/>
            <w:tcBorders>
              <w:top w:val="single" w:color="000000" w:sz="4" w:space="0"/>
              <w:left w:val="single" w:color="000000" w:sz="4" w:space="0"/>
              <w:bottom w:val="single" w:color="000000" w:sz="4" w:space="0"/>
              <w:right w:val="single" w:color="000000" w:sz="4" w:space="0"/>
            </w:tcBorders>
            <w:vAlign w:val="center"/>
          </w:tcPr>
          <w:p>
            <w:pPr>
              <w:snapToGrid w:val="0"/>
              <w:spacing w:afterLines="0" w:line="400" w:lineRule="exact"/>
              <w:ind w:firstLine="420" w:firstLineChars="200"/>
              <w:rPr>
                <w:rFonts w:ascii="宋体" w:hAnsi="宋体"/>
                <w:kern w:val="0"/>
                <w:szCs w:val="21"/>
                <w:highlight w:val="none"/>
              </w:rPr>
            </w:pPr>
            <w:r>
              <w:rPr>
                <w:rFonts w:ascii="宋体" w:hAnsi="宋体"/>
                <w:kern w:val="0"/>
                <w:szCs w:val="21"/>
                <w:highlight w:val="none"/>
              </w:rPr>
              <w:t>1.按投标人须知第8.1（1）执行；</w:t>
            </w:r>
          </w:p>
          <w:p>
            <w:pPr>
              <w:snapToGrid w:val="0"/>
              <w:spacing w:afterLines="0" w:line="400" w:lineRule="exact"/>
              <w:ind w:firstLine="420" w:firstLineChars="200"/>
              <w:rPr>
                <w:rFonts w:ascii="宋体" w:hAnsi="宋体"/>
                <w:kern w:val="0"/>
                <w:szCs w:val="21"/>
                <w:highlight w:val="none"/>
              </w:rPr>
            </w:pPr>
            <w:r>
              <w:rPr>
                <w:rFonts w:ascii="宋体" w:hAnsi="宋体"/>
                <w:kern w:val="0"/>
                <w:szCs w:val="21"/>
                <w:highlight w:val="none"/>
              </w:rPr>
              <w:t>2.按投标人须知第8.1（2）执行；</w:t>
            </w:r>
          </w:p>
          <w:p>
            <w:pPr>
              <w:widowControl/>
              <w:spacing w:afterLines="0"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3.</w:t>
            </w:r>
            <w:r>
              <w:rPr>
                <w:rFonts w:ascii="宋体" w:hAnsi="宋体"/>
                <w:kern w:val="0"/>
                <w:szCs w:val="21"/>
                <w:highlight w:val="none"/>
              </w:rPr>
              <w:t>按投标人须知第8.1（3）执行；</w:t>
            </w:r>
          </w:p>
          <w:p>
            <w:pPr>
              <w:widowControl/>
              <w:spacing w:after="0" w:afterLines="0" w:line="400" w:lineRule="exact"/>
              <w:ind w:firstLine="420" w:firstLineChars="200"/>
              <w:rPr>
                <w:rFonts w:ascii="宋体" w:hAnsi="宋体"/>
                <w:kern w:val="0"/>
                <w:szCs w:val="21"/>
                <w:highlight w:val="none"/>
              </w:rPr>
            </w:pPr>
            <w:r>
              <w:rPr>
                <w:rFonts w:ascii="宋体" w:hAnsi="宋体"/>
                <w:snapToGrid w:val="0"/>
                <w:kern w:val="0"/>
                <w:szCs w:val="21"/>
                <w:highlight w:val="none"/>
              </w:rPr>
              <w:t>4.</w:t>
            </w:r>
            <w:r>
              <w:rPr>
                <w:rFonts w:ascii="宋体" w:hAnsi="宋体"/>
                <w:kern w:val="0"/>
                <w:szCs w:val="21"/>
                <w:highlight w:val="none"/>
              </w:rPr>
              <w:t>按投标人须知第8.1（4）执行</w:t>
            </w:r>
            <w:r>
              <w:rPr>
                <w:rFonts w:hint="eastAsia" w:ascii="宋体" w:hAnsi="宋体"/>
                <w:kern w:val="0"/>
                <w:szCs w:val="21"/>
                <w:highlight w:val="none"/>
              </w:rPr>
              <w:t>。</w:t>
            </w:r>
          </w:p>
          <w:p>
            <w:pPr>
              <w:widowControl/>
              <w:spacing w:after="0" w:afterLines="0" w:line="400" w:lineRule="exact"/>
              <w:ind w:firstLine="420" w:firstLineChars="200"/>
              <w:rPr>
                <w:rFonts w:hint="eastAsia" w:ascii="宋体" w:hAnsi="宋体" w:cs="宋体"/>
                <w:bCs/>
                <w:szCs w:val="21"/>
                <w:highlight w:val="none"/>
                <w:lang w:val="en-GB"/>
              </w:rPr>
            </w:pPr>
            <w:r>
              <w:rPr>
                <w:rFonts w:hint="eastAsia" w:ascii="宋体" w:hAnsi="宋体"/>
                <w:kern w:val="0"/>
                <w:szCs w:val="21"/>
                <w:highlight w:val="none"/>
              </w:rPr>
              <w:t>注：本款只适用于首次招标。</w:t>
            </w:r>
          </w:p>
        </w:tc>
      </w:tr>
      <w:tr>
        <w:tblPrEx>
          <w:tblLayout w:type="fixed"/>
          <w:tblCellMar>
            <w:top w:w="0" w:type="dxa"/>
            <w:left w:w="0" w:type="dxa"/>
            <w:bottom w:w="0" w:type="dxa"/>
            <w:right w:w="0" w:type="dxa"/>
          </w:tblCellMar>
        </w:tblPrEx>
        <w:trPr>
          <w:jc w:val="center"/>
        </w:trPr>
        <w:tc>
          <w:tcPr>
            <w:tcW w:w="1164" w:type="dxa"/>
            <w:tcBorders>
              <w:top w:val="single" w:color="000000" w:sz="4" w:space="0"/>
              <w:left w:val="single" w:color="000000" w:sz="4" w:space="0"/>
              <w:bottom w:val="single" w:color="000000" w:sz="4" w:space="0"/>
              <w:right w:val="single" w:color="000000" w:sz="4" w:space="0"/>
            </w:tcBorders>
            <w:vAlign w:val="center"/>
          </w:tcPr>
          <w:p>
            <w:pPr>
              <w:snapToGrid w:val="0"/>
              <w:spacing w:afterLines="0" w:line="400" w:lineRule="exact"/>
              <w:jc w:val="center"/>
              <w:rPr>
                <w:rFonts w:hint="eastAsia" w:ascii="宋体" w:hAnsi="宋体" w:cs="宋体"/>
                <w:kern w:val="0"/>
                <w:szCs w:val="21"/>
                <w:highlight w:val="none"/>
              </w:rPr>
            </w:pPr>
            <w:r>
              <w:rPr>
                <w:rFonts w:ascii="宋体" w:hAnsi="宋体"/>
                <w:kern w:val="0"/>
                <w:szCs w:val="21"/>
                <w:highlight w:val="none"/>
              </w:rPr>
              <w:t>8.2</w:t>
            </w: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spacing w:afterLines="0" w:line="400" w:lineRule="exact"/>
              <w:jc w:val="center"/>
              <w:rPr>
                <w:rFonts w:ascii="宋体" w:hAnsi="宋体"/>
                <w:kern w:val="0"/>
                <w:szCs w:val="21"/>
                <w:highlight w:val="none"/>
              </w:rPr>
            </w:pPr>
            <w:r>
              <w:rPr>
                <w:rFonts w:hint="eastAsia" w:ascii="宋体" w:hAnsi="宋体"/>
                <w:kern w:val="0"/>
                <w:szCs w:val="21"/>
                <w:highlight w:val="none"/>
              </w:rPr>
              <w:t>重新</w:t>
            </w:r>
            <w:r>
              <w:rPr>
                <w:rFonts w:ascii="宋体" w:hAnsi="宋体"/>
                <w:kern w:val="0"/>
                <w:szCs w:val="21"/>
                <w:highlight w:val="none"/>
              </w:rPr>
              <w:t>招标和不再</w:t>
            </w:r>
          </w:p>
          <w:p>
            <w:pPr>
              <w:snapToGrid w:val="0"/>
              <w:spacing w:afterLines="0" w:line="400" w:lineRule="exact"/>
              <w:jc w:val="center"/>
              <w:rPr>
                <w:rFonts w:hint="eastAsia" w:ascii="宋体" w:hAnsi="宋体" w:cs="宋体"/>
                <w:kern w:val="0"/>
                <w:szCs w:val="21"/>
                <w:highlight w:val="none"/>
              </w:rPr>
            </w:pPr>
            <w:r>
              <w:rPr>
                <w:rFonts w:ascii="宋体" w:hAnsi="宋体"/>
                <w:kern w:val="0"/>
                <w:szCs w:val="21"/>
                <w:highlight w:val="none"/>
              </w:rPr>
              <w:t>招标</w:t>
            </w:r>
          </w:p>
        </w:tc>
        <w:tc>
          <w:tcPr>
            <w:tcW w:w="645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0" w:afterLines="0" w:line="400" w:lineRule="exact"/>
              <w:ind w:firstLine="420" w:firstLineChars="200"/>
              <w:rPr>
                <w:rFonts w:hint="eastAsia" w:ascii="宋体" w:hAnsi="宋体" w:cs="宋体"/>
                <w:bCs/>
                <w:szCs w:val="21"/>
                <w:highlight w:val="none"/>
                <w:lang w:val="en-GB"/>
              </w:rPr>
            </w:pPr>
            <w:r>
              <w:rPr>
                <w:rFonts w:hint="eastAsia" w:ascii="宋体" w:hAnsi="宋体"/>
                <w:snapToGrid w:val="0"/>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kern w:val="0"/>
                <w:szCs w:val="21"/>
                <w:highlight w:val="none"/>
              </w:rPr>
              <w:t>。</w:t>
            </w:r>
          </w:p>
        </w:tc>
      </w:tr>
      <w:tr>
        <w:tblPrEx>
          <w:tblLayout w:type="fixed"/>
          <w:tblCellMar>
            <w:top w:w="0" w:type="dxa"/>
            <w:left w:w="0" w:type="dxa"/>
            <w:bottom w:w="0" w:type="dxa"/>
            <w:right w:w="0" w:type="dxa"/>
          </w:tblCellMar>
        </w:tblPrEx>
        <w:trPr>
          <w:jc w:val="center"/>
        </w:trPr>
        <w:tc>
          <w:tcPr>
            <w:tcW w:w="11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jc w:val="center"/>
              <w:rPr>
                <w:rFonts w:hint="eastAsia" w:ascii="宋体" w:hAnsi="宋体" w:cs="宋体"/>
                <w:kern w:val="0"/>
                <w:szCs w:val="21"/>
                <w:highlight w:val="none"/>
              </w:rPr>
            </w:pPr>
            <w:r>
              <w:rPr>
                <w:rFonts w:hint="eastAsia" w:ascii="宋体" w:hAnsi="宋体" w:cs="宋体"/>
                <w:kern w:val="0"/>
                <w:szCs w:val="21"/>
                <w:highlight w:val="none"/>
              </w:rPr>
              <w:t>10</w:t>
            </w:r>
          </w:p>
        </w:tc>
        <w:tc>
          <w:tcPr>
            <w:tcW w:w="815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afterLines="0" w:line="400" w:lineRule="exact"/>
              <w:jc w:val="center"/>
              <w:rPr>
                <w:rFonts w:hint="eastAsia" w:ascii="宋体" w:hAnsi="宋体" w:cs="宋体"/>
                <w:kern w:val="0"/>
                <w:szCs w:val="21"/>
                <w:highlight w:val="none"/>
                <w:u w:val="single"/>
              </w:rPr>
            </w:pPr>
            <w:r>
              <w:rPr>
                <w:rFonts w:hint="eastAsia" w:ascii="宋体" w:hAnsi="宋体" w:cs="宋体"/>
                <w:kern w:val="0"/>
                <w:szCs w:val="21"/>
                <w:highlight w:val="none"/>
              </w:rPr>
              <w:t>需要</w:t>
            </w:r>
            <w:r>
              <w:rPr>
                <w:rFonts w:hint="eastAsia" w:ascii="宋体" w:hAnsi="宋体" w:cs="宋体"/>
                <w:spacing w:val="-2"/>
                <w:kern w:val="0"/>
                <w:szCs w:val="21"/>
                <w:highlight w:val="none"/>
              </w:rPr>
              <w:t>补</w:t>
            </w:r>
            <w:r>
              <w:rPr>
                <w:rFonts w:hint="eastAsia" w:ascii="宋体" w:hAnsi="宋体" w:cs="宋体"/>
                <w:kern w:val="0"/>
                <w:szCs w:val="21"/>
                <w:highlight w:val="none"/>
              </w:rPr>
              <w:t>充</w:t>
            </w:r>
            <w:r>
              <w:rPr>
                <w:rFonts w:hint="eastAsia" w:ascii="宋体" w:hAnsi="宋体" w:cs="宋体"/>
                <w:spacing w:val="-2"/>
                <w:kern w:val="0"/>
                <w:szCs w:val="21"/>
                <w:highlight w:val="none"/>
              </w:rPr>
              <w:t>的</w:t>
            </w:r>
            <w:r>
              <w:rPr>
                <w:rFonts w:hint="eastAsia" w:ascii="宋体" w:hAnsi="宋体" w:cs="宋体"/>
                <w:kern w:val="0"/>
                <w:szCs w:val="21"/>
                <w:highlight w:val="none"/>
              </w:rPr>
              <w:t>其</w:t>
            </w:r>
            <w:r>
              <w:rPr>
                <w:rFonts w:hint="eastAsia" w:ascii="宋体" w:hAnsi="宋体" w:cs="宋体"/>
                <w:spacing w:val="-2"/>
                <w:kern w:val="0"/>
                <w:szCs w:val="21"/>
                <w:highlight w:val="none"/>
              </w:rPr>
              <w:t>他</w:t>
            </w:r>
            <w:r>
              <w:rPr>
                <w:rFonts w:hint="eastAsia" w:ascii="宋体" w:hAnsi="宋体" w:cs="宋体"/>
                <w:kern w:val="0"/>
                <w:szCs w:val="21"/>
                <w:highlight w:val="none"/>
              </w:rPr>
              <w:t>内容</w:t>
            </w:r>
          </w:p>
        </w:tc>
      </w:tr>
      <w:tr>
        <w:tblPrEx>
          <w:tblLayout w:type="fixed"/>
          <w:tblCellMar>
            <w:top w:w="0" w:type="dxa"/>
            <w:left w:w="0" w:type="dxa"/>
            <w:bottom w:w="0" w:type="dxa"/>
            <w:right w:w="0" w:type="dxa"/>
          </w:tblCellMar>
        </w:tblPrEx>
        <w:trPr>
          <w:jc w:val="center"/>
        </w:trPr>
        <w:tc>
          <w:tcPr>
            <w:tcW w:w="1164" w:type="dxa"/>
            <w:tcBorders>
              <w:top w:val="single" w:color="000000" w:sz="4" w:space="0"/>
              <w:left w:val="single" w:color="000000" w:sz="4" w:space="0"/>
              <w:bottom w:val="single" w:color="000000" w:sz="4" w:space="0"/>
              <w:right w:val="single" w:color="000000" w:sz="4" w:space="0"/>
            </w:tcBorders>
            <w:vAlign w:val="center"/>
          </w:tcPr>
          <w:p>
            <w:pPr>
              <w:snapToGrid w:val="0"/>
              <w:spacing w:afterLines="0" w:line="400" w:lineRule="exact"/>
              <w:jc w:val="center"/>
              <w:rPr>
                <w:rFonts w:hint="eastAsia" w:ascii="宋体" w:hAnsi="宋体" w:cs="宋体"/>
                <w:kern w:val="0"/>
                <w:szCs w:val="21"/>
                <w:highlight w:val="none"/>
              </w:rPr>
            </w:pPr>
            <w:r>
              <w:rPr>
                <w:rFonts w:hint="eastAsia" w:ascii="宋体" w:hAnsi="宋体"/>
                <w:kern w:val="0"/>
                <w:szCs w:val="21"/>
                <w:highlight w:val="none"/>
              </w:rPr>
              <w:t>10</w:t>
            </w:r>
            <w:r>
              <w:rPr>
                <w:rFonts w:ascii="宋体" w:hAnsi="宋体"/>
                <w:kern w:val="0"/>
                <w:szCs w:val="21"/>
                <w:highlight w:val="none"/>
              </w:rPr>
              <w:t>.1</w:t>
            </w:r>
          </w:p>
        </w:tc>
        <w:tc>
          <w:tcPr>
            <w:tcW w:w="1701" w:type="dxa"/>
            <w:tcBorders>
              <w:top w:val="single" w:color="000000" w:sz="4" w:space="0"/>
              <w:left w:val="single" w:color="000000" w:sz="4" w:space="0"/>
              <w:bottom w:val="single" w:color="000000" w:sz="4" w:space="0"/>
              <w:right w:val="single" w:color="auto" w:sz="4" w:space="0"/>
            </w:tcBorders>
            <w:vAlign w:val="center"/>
          </w:tcPr>
          <w:p>
            <w:pPr>
              <w:snapToGrid w:val="0"/>
              <w:spacing w:afterLines="0" w:line="400" w:lineRule="exact"/>
              <w:jc w:val="center"/>
              <w:rPr>
                <w:rFonts w:hint="eastAsia" w:ascii="宋体" w:hAnsi="宋体" w:cs="宋体"/>
                <w:szCs w:val="21"/>
                <w:highlight w:val="none"/>
              </w:rPr>
            </w:pPr>
            <w:r>
              <w:rPr>
                <w:rFonts w:hint="eastAsia" w:ascii="宋体" w:hAnsi="宋体" w:cs="宋体"/>
                <w:kern w:val="0"/>
                <w:szCs w:val="21"/>
                <w:highlight w:val="none"/>
              </w:rPr>
              <w:t>关于对招标文件及投标争议的解释</w:t>
            </w:r>
          </w:p>
        </w:tc>
        <w:tc>
          <w:tcPr>
            <w:tcW w:w="6458" w:type="dxa"/>
            <w:tcBorders>
              <w:top w:val="single" w:color="000000" w:sz="4" w:space="0"/>
              <w:left w:val="single" w:color="auto" w:sz="4" w:space="0"/>
              <w:bottom w:val="single" w:color="000000" w:sz="4" w:space="0"/>
              <w:right w:val="single" w:color="000000" w:sz="4" w:space="0"/>
            </w:tcBorders>
            <w:vAlign w:val="center"/>
          </w:tcPr>
          <w:p>
            <w:pPr>
              <w:pStyle w:val="20"/>
              <w:adjustRightInd w:val="0"/>
              <w:snapToGrid w:val="0"/>
              <w:spacing w:afterLines="0"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对资格预审文件或者招标文件的评标标准和方法，以及资格审查和否决投标条款理解有争议的，应当作出不利于招标人的解释，但违背国家利益、社会公共利益的除外。</w:t>
            </w:r>
          </w:p>
          <w:p>
            <w:pPr>
              <w:pStyle w:val="20"/>
              <w:adjustRightInd w:val="0"/>
              <w:snapToGrid w:val="0"/>
              <w:spacing w:afterLines="0" w:line="400" w:lineRule="exact"/>
              <w:ind w:firstLine="420" w:firstLineChars="200"/>
              <w:rPr>
                <w:rFonts w:hint="eastAsia" w:ascii="宋体" w:hAnsi="宋体" w:eastAsia="宋体" w:cs="宋体"/>
                <w:szCs w:val="21"/>
                <w:highlight w:val="none"/>
              </w:rPr>
            </w:pPr>
            <w:r>
              <w:rPr>
                <w:rFonts w:hint="eastAsia" w:ascii="宋体" w:hAnsi="宋体" w:eastAsia="宋体" w:cs="宋体"/>
                <w:highlight w:val="none"/>
              </w:rPr>
              <w:t>对投标文件理解有争议的，应当作出不利于提交该投标文件的投标人的解释。</w:t>
            </w:r>
          </w:p>
        </w:tc>
      </w:tr>
      <w:tr>
        <w:tblPrEx>
          <w:tblLayout w:type="fixed"/>
          <w:tblCellMar>
            <w:top w:w="0" w:type="dxa"/>
            <w:left w:w="0" w:type="dxa"/>
            <w:bottom w:w="0" w:type="dxa"/>
            <w:right w:w="0" w:type="dxa"/>
          </w:tblCellMar>
        </w:tblPrEx>
        <w:trPr>
          <w:jc w:val="center"/>
        </w:trPr>
        <w:tc>
          <w:tcPr>
            <w:tcW w:w="1164" w:type="dxa"/>
            <w:tcBorders>
              <w:top w:val="single" w:color="000000" w:sz="4" w:space="0"/>
              <w:left w:val="single" w:color="000000" w:sz="4" w:space="0"/>
              <w:bottom w:val="single" w:color="000000" w:sz="4" w:space="0"/>
              <w:right w:val="single" w:color="000000" w:sz="4" w:space="0"/>
            </w:tcBorders>
            <w:vAlign w:val="center"/>
          </w:tcPr>
          <w:p>
            <w:pPr>
              <w:pStyle w:val="17"/>
              <w:snapToGrid w:val="0"/>
              <w:spacing w:afterLines="0" w:line="400" w:lineRule="exact"/>
              <w:jc w:val="center"/>
              <w:rPr>
                <w:rFonts w:hint="eastAsia" w:hAnsi="宋体" w:cs="宋体"/>
                <w:color w:val="auto"/>
                <w:sz w:val="21"/>
                <w:szCs w:val="21"/>
                <w:highlight w:val="none"/>
              </w:rPr>
            </w:pPr>
            <w:r>
              <w:rPr>
                <w:rFonts w:hint="eastAsia" w:hAnsi="宋体"/>
                <w:bCs/>
                <w:color w:val="auto"/>
                <w:sz w:val="21"/>
                <w:szCs w:val="21"/>
                <w:highlight w:val="none"/>
              </w:rPr>
              <w:t>10.2</w:t>
            </w:r>
          </w:p>
        </w:tc>
        <w:tc>
          <w:tcPr>
            <w:tcW w:w="1701" w:type="dxa"/>
            <w:tcBorders>
              <w:top w:val="single" w:color="000000" w:sz="4" w:space="0"/>
              <w:left w:val="single" w:color="000000" w:sz="4" w:space="0"/>
              <w:bottom w:val="single" w:color="000000" w:sz="4" w:space="0"/>
              <w:right w:val="single" w:color="auto" w:sz="4" w:space="0"/>
            </w:tcBorders>
            <w:vAlign w:val="center"/>
          </w:tcPr>
          <w:p>
            <w:pPr>
              <w:tabs>
                <w:tab w:val="left" w:pos="1050"/>
                <w:tab w:val="left" w:pos="1470"/>
              </w:tabs>
              <w:snapToGrid w:val="0"/>
              <w:spacing w:afterLines="0" w:line="400" w:lineRule="exact"/>
              <w:jc w:val="center"/>
              <w:rPr>
                <w:rFonts w:hint="eastAsia" w:ascii="宋体" w:hAnsi="宋体" w:cs="宋体"/>
                <w:szCs w:val="21"/>
                <w:highlight w:val="none"/>
              </w:rPr>
            </w:pPr>
            <w:r>
              <w:rPr>
                <w:rFonts w:hint="eastAsia"/>
                <w:highlight w:val="none"/>
                <w:lang w:val="en-GB"/>
              </w:rPr>
              <w:t>招标代理服务费</w:t>
            </w:r>
          </w:p>
        </w:tc>
        <w:tc>
          <w:tcPr>
            <w:tcW w:w="6458"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napToGrid w:val="0"/>
              <w:spacing w:afterLines="0" w:line="400" w:lineRule="exact"/>
              <w:ind w:firstLine="420" w:firstLineChars="200"/>
              <w:rPr>
                <w:highlight w:val="none"/>
              </w:rPr>
            </w:pPr>
            <w:r>
              <w:rPr>
                <w:rFonts w:hint="eastAsia" w:ascii="宋体" w:hAnsi="宋体"/>
                <w:kern w:val="0"/>
                <w:szCs w:val="21"/>
                <w:highlight w:val="none"/>
              </w:rPr>
              <w:t>本项目的招标代理服务费由中标人支付，投标人应将此费用纳入投标报价但不单列。招标代理服务费按本项目招标人招标代理框架项目委托协议书规定的服务类标准执行（详见下表）；</w:t>
            </w:r>
          </w:p>
          <w:tbl>
            <w:tblPr>
              <w:tblStyle w:val="15"/>
              <w:tblW w:w="5498" w:type="dxa"/>
              <w:jc w:val="center"/>
              <w:tblInd w:w="0" w:type="dxa"/>
              <w:tblLayout w:type="fixed"/>
              <w:tblCellMar>
                <w:top w:w="0" w:type="dxa"/>
                <w:left w:w="108" w:type="dxa"/>
                <w:bottom w:w="0" w:type="dxa"/>
                <w:right w:w="108" w:type="dxa"/>
              </w:tblCellMar>
            </w:tblPr>
            <w:tblGrid>
              <w:gridCol w:w="2492"/>
              <w:gridCol w:w="967"/>
              <w:gridCol w:w="974"/>
              <w:gridCol w:w="1065"/>
            </w:tblGrid>
            <w:tr>
              <w:tblPrEx>
                <w:tblLayout w:type="fixed"/>
                <w:tblCellMar>
                  <w:top w:w="0" w:type="dxa"/>
                  <w:left w:w="108" w:type="dxa"/>
                  <w:bottom w:w="0" w:type="dxa"/>
                  <w:right w:w="108" w:type="dxa"/>
                </w:tblCellMar>
              </w:tblPrEx>
              <w:trPr>
                <w:trHeight w:val="518" w:hRule="atLeast"/>
                <w:jc w:val="center"/>
              </w:trPr>
              <w:tc>
                <w:tcPr>
                  <w:tcW w:w="2492" w:type="dxa"/>
                  <w:tcBorders>
                    <w:top w:val="single" w:color="000000" w:sz="6" w:space="0"/>
                    <w:left w:val="single" w:color="000000" w:sz="6" w:space="0"/>
                    <w:bottom w:val="nil"/>
                    <w:right w:val="single" w:color="000000" w:sz="6" w:space="0"/>
                  </w:tcBorders>
                  <w:tcMar>
                    <w:top w:w="15" w:type="dxa"/>
                    <w:left w:w="15" w:type="dxa"/>
                    <w:bottom w:w="15" w:type="dxa"/>
                    <w:right w:w="15" w:type="dxa"/>
                  </w:tcMar>
                  <w:vAlign w:val="top"/>
                </w:tcPr>
                <w:p>
                  <w:pPr>
                    <w:adjustRightInd w:val="0"/>
                    <w:snapToGrid w:val="0"/>
                    <w:spacing w:afterLines="0" w:line="400" w:lineRule="exact"/>
                    <w:jc w:val="center"/>
                    <w:rPr>
                      <w:rFonts w:ascii="宋体" w:hAnsi="宋体"/>
                      <w:szCs w:val="21"/>
                      <w:highlight w:val="none"/>
                    </w:rPr>
                  </w:pPr>
                  <w:r>
                    <w:rPr>
                      <w:rFonts w:hint="eastAsia" w:ascii="宋体" w:hAnsi="宋体"/>
                      <w:szCs w:val="21"/>
                      <w:highlight w:val="none"/>
                    </w:rPr>
                    <w:t>服务类型费率</w:t>
                  </w:r>
                </w:p>
                <w:p>
                  <w:pPr>
                    <w:adjustRightInd w:val="0"/>
                    <w:snapToGrid w:val="0"/>
                    <w:spacing w:afterLines="0" w:line="400" w:lineRule="exact"/>
                    <w:jc w:val="center"/>
                    <w:rPr>
                      <w:rFonts w:ascii="宋体" w:hAnsi="宋体"/>
                      <w:szCs w:val="21"/>
                      <w:highlight w:val="none"/>
                    </w:rPr>
                  </w:pPr>
                  <w:r>
                    <w:rPr>
                      <w:rFonts w:hint="eastAsia" w:ascii="宋体" w:hAnsi="宋体"/>
                      <w:szCs w:val="21"/>
                      <w:highlight w:val="none"/>
                    </w:rPr>
                    <w:t>中标金额（万元）</w:t>
                  </w:r>
                </w:p>
              </w:tc>
              <w:tc>
                <w:tcPr>
                  <w:tcW w:w="967" w:type="dxa"/>
                  <w:tcBorders>
                    <w:top w:val="single" w:color="000000" w:sz="6" w:space="0"/>
                    <w:left w:val="single" w:color="000000" w:sz="6" w:space="0"/>
                    <w:bottom w:val="single" w:color="auto" w:sz="4" w:space="0"/>
                    <w:right w:val="single" w:color="auto" w:sz="4" w:space="0"/>
                  </w:tcBorders>
                  <w:tcMar>
                    <w:top w:w="15" w:type="dxa"/>
                    <w:left w:w="15" w:type="dxa"/>
                    <w:bottom w:w="15" w:type="dxa"/>
                    <w:right w:w="15" w:type="dxa"/>
                  </w:tcMar>
                  <w:vAlign w:val="center"/>
                </w:tcPr>
                <w:p>
                  <w:pPr>
                    <w:adjustRightInd w:val="0"/>
                    <w:snapToGrid w:val="0"/>
                    <w:spacing w:afterLines="0" w:line="400" w:lineRule="exact"/>
                    <w:jc w:val="center"/>
                    <w:rPr>
                      <w:rFonts w:ascii="宋体" w:hAnsi="宋体"/>
                      <w:szCs w:val="21"/>
                      <w:highlight w:val="none"/>
                    </w:rPr>
                  </w:pPr>
                  <w:r>
                    <w:rPr>
                      <w:rFonts w:hint="eastAsia" w:ascii="宋体" w:hAnsi="宋体"/>
                      <w:szCs w:val="21"/>
                      <w:highlight w:val="none"/>
                    </w:rPr>
                    <w:t>货物招标</w:t>
                  </w:r>
                </w:p>
              </w:tc>
              <w:tc>
                <w:tcPr>
                  <w:tcW w:w="974" w:type="dxa"/>
                  <w:tcBorders>
                    <w:top w:val="single" w:color="000000" w:sz="6" w:space="0"/>
                    <w:left w:val="single" w:color="000000" w:sz="6" w:space="0"/>
                    <w:bottom w:val="single" w:color="auto" w:sz="4" w:space="0"/>
                    <w:right w:val="single" w:color="auto" w:sz="4" w:space="0"/>
                  </w:tcBorders>
                  <w:tcMar>
                    <w:top w:w="15" w:type="dxa"/>
                    <w:left w:w="15" w:type="dxa"/>
                    <w:bottom w:w="15" w:type="dxa"/>
                    <w:right w:w="15" w:type="dxa"/>
                  </w:tcMar>
                  <w:vAlign w:val="center"/>
                </w:tcPr>
                <w:p>
                  <w:pPr>
                    <w:adjustRightInd w:val="0"/>
                    <w:snapToGrid w:val="0"/>
                    <w:spacing w:afterLines="0" w:line="400" w:lineRule="exact"/>
                    <w:jc w:val="center"/>
                    <w:rPr>
                      <w:rFonts w:ascii="宋体" w:hAnsi="宋体"/>
                      <w:szCs w:val="21"/>
                      <w:highlight w:val="none"/>
                    </w:rPr>
                  </w:pPr>
                  <w:r>
                    <w:rPr>
                      <w:rFonts w:hint="eastAsia" w:ascii="宋体" w:hAnsi="宋体"/>
                      <w:szCs w:val="21"/>
                      <w:highlight w:val="none"/>
                    </w:rPr>
                    <w:t>服务招标</w:t>
                  </w:r>
                </w:p>
              </w:tc>
              <w:tc>
                <w:tcPr>
                  <w:tcW w:w="1065" w:type="dxa"/>
                  <w:tcBorders>
                    <w:top w:val="single" w:color="000000" w:sz="6" w:space="0"/>
                    <w:left w:val="single" w:color="000000" w:sz="6" w:space="0"/>
                    <w:bottom w:val="single" w:color="auto" w:sz="4" w:space="0"/>
                    <w:right w:val="single" w:color="auto" w:sz="4" w:space="0"/>
                  </w:tcBorders>
                  <w:tcMar>
                    <w:top w:w="15" w:type="dxa"/>
                    <w:left w:w="15" w:type="dxa"/>
                    <w:bottom w:w="15" w:type="dxa"/>
                    <w:right w:w="15" w:type="dxa"/>
                  </w:tcMar>
                  <w:vAlign w:val="center"/>
                </w:tcPr>
                <w:p>
                  <w:pPr>
                    <w:adjustRightInd w:val="0"/>
                    <w:snapToGrid w:val="0"/>
                    <w:spacing w:afterLines="0" w:line="400" w:lineRule="exact"/>
                    <w:jc w:val="center"/>
                    <w:rPr>
                      <w:rFonts w:ascii="宋体" w:hAnsi="宋体"/>
                      <w:szCs w:val="21"/>
                      <w:highlight w:val="none"/>
                    </w:rPr>
                  </w:pPr>
                  <w:r>
                    <w:rPr>
                      <w:rFonts w:hint="eastAsia" w:ascii="宋体" w:hAnsi="宋体"/>
                      <w:szCs w:val="21"/>
                      <w:highlight w:val="none"/>
                    </w:rPr>
                    <w:t>工程招标</w:t>
                  </w:r>
                </w:p>
              </w:tc>
            </w:tr>
            <w:tr>
              <w:tblPrEx>
                <w:tblLayout w:type="fixed"/>
                <w:tblCellMar>
                  <w:top w:w="0" w:type="dxa"/>
                  <w:left w:w="108" w:type="dxa"/>
                  <w:bottom w:w="0" w:type="dxa"/>
                  <w:right w:w="108" w:type="dxa"/>
                </w:tblCellMar>
              </w:tblPrEx>
              <w:trPr>
                <w:trHeight w:val="454" w:hRule="atLeast"/>
                <w:jc w:val="center"/>
              </w:trPr>
              <w:tc>
                <w:tcPr>
                  <w:tcW w:w="2492"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top"/>
                </w:tcPr>
                <w:p>
                  <w:pPr>
                    <w:adjustRightInd w:val="0"/>
                    <w:snapToGrid w:val="0"/>
                    <w:spacing w:afterLines="0" w:line="400" w:lineRule="exact"/>
                    <w:jc w:val="center"/>
                    <w:rPr>
                      <w:rFonts w:ascii="宋体" w:hAnsi="宋体"/>
                      <w:szCs w:val="21"/>
                      <w:highlight w:val="none"/>
                    </w:rPr>
                  </w:pPr>
                  <w:r>
                    <w:rPr>
                      <w:rFonts w:hint="eastAsia" w:ascii="宋体" w:hAnsi="宋体"/>
                      <w:szCs w:val="21"/>
                      <w:highlight w:val="none"/>
                    </w:rPr>
                    <w:t>100以下</w:t>
                  </w:r>
                </w:p>
              </w:tc>
              <w:tc>
                <w:tcPr>
                  <w:tcW w:w="967" w:type="dxa"/>
                  <w:tcBorders>
                    <w:top w:val="single" w:color="000000" w:sz="6" w:space="0"/>
                    <w:left w:val="single" w:color="000000" w:sz="6" w:space="0"/>
                    <w:bottom w:val="single" w:color="000000" w:sz="6" w:space="0"/>
                    <w:right w:val="single" w:color="auto" w:sz="4" w:space="0"/>
                  </w:tcBorders>
                  <w:tcMar>
                    <w:top w:w="15" w:type="dxa"/>
                    <w:left w:w="15" w:type="dxa"/>
                    <w:bottom w:w="15" w:type="dxa"/>
                    <w:right w:w="15" w:type="dxa"/>
                  </w:tcMar>
                  <w:vAlign w:val="top"/>
                </w:tcPr>
                <w:p>
                  <w:pPr>
                    <w:adjustRightInd w:val="0"/>
                    <w:snapToGrid w:val="0"/>
                    <w:spacing w:afterLines="0" w:line="400" w:lineRule="exact"/>
                    <w:jc w:val="center"/>
                    <w:rPr>
                      <w:rFonts w:ascii="宋体" w:hAnsi="宋体"/>
                      <w:szCs w:val="21"/>
                      <w:highlight w:val="none"/>
                    </w:rPr>
                  </w:pPr>
                  <w:r>
                    <w:rPr>
                      <w:rFonts w:hint="eastAsia" w:ascii="宋体" w:hAnsi="宋体"/>
                      <w:szCs w:val="21"/>
                      <w:highlight w:val="none"/>
                    </w:rPr>
                    <w:t>1.5%</w:t>
                  </w:r>
                </w:p>
              </w:tc>
              <w:tc>
                <w:tcPr>
                  <w:tcW w:w="974" w:type="dxa"/>
                  <w:tcBorders>
                    <w:top w:val="single" w:color="000000" w:sz="6" w:space="0"/>
                    <w:left w:val="single" w:color="000000" w:sz="6" w:space="0"/>
                    <w:bottom w:val="single" w:color="000000" w:sz="6" w:space="0"/>
                    <w:right w:val="single" w:color="auto" w:sz="4" w:space="0"/>
                  </w:tcBorders>
                  <w:tcMar>
                    <w:top w:w="15" w:type="dxa"/>
                    <w:left w:w="15" w:type="dxa"/>
                    <w:bottom w:w="15" w:type="dxa"/>
                    <w:right w:w="15" w:type="dxa"/>
                  </w:tcMar>
                  <w:vAlign w:val="top"/>
                </w:tcPr>
                <w:p>
                  <w:pPr>
                    <w:adjustRightInd w:val="0"/>
                    <w:snapToGrid w:val="0"/>
                    <w:spacing w:afterLines="0" w:line="400" w:lineRule="exact"/>
                    <w:jc w:val="center"/>
                    <w:rPr>
                      <w:rFonts w:ascii="宋体" w:hAnsi="宋体"/>
                      <w:szCs w:val="21"/>
                      <w:highlight w:val="none"/>
                    </w:rPr>
                  </w:pPr>
                  <w:r>
                    <w:rPr>
                      <w:rFonts w:hint="eastAsia" w:ascii="宋体" w:hAnsi="宋体"/>
                      <w:szCs w:val="21"/>
                      <w:highlight w:val="none"/>
                    </w:rPr>
                    <w:t>1.5%</w:t>
                  </w:r>
                </w:p>
              </w:tc>
              <w:tc>
                <w:tcPr>
                  <w:tcW w:w="1065" w:type="dxa"/>
                  <w:tcBorders>
                    <w:top w:val="single" w:color="000000" w:sz="6" w:space="0"/>
                    <w:left w:val="single" w:color="000000" w:sz="6" w:space="0"/>
                    <w:bottom w:val="single" w:color="000000" w:sz="6" w:space="0"/>
                    <w:right w:val="single" w:color="auto" w:sz="4" w:space="0"/>
                  </w:tcBorders>
                  <w:tcMar>
                    <w:top w:w="15" w:type="dxa"/>
                    <w:left w:w="15" w:type="dxa"/>
                    <w:bottom w:w="15" w:type="dxa"/>
                    <w:right w:w="15" w:type="dxa"/>
                  </w:tcMar>
                  <w:vAlign w:val="top"/>
                </w:tcPr>
                <w:p>
                  <w:pPr>
                    <w:adjustRightInd w:val="0"/>
                    <w:snapToGrid w:val="0"/>
                    <w:spacing w:afterLines="0" w:line="400" w:lineRule="exact"/>
                    <w:jc w:val="center"/>
                    <w:rPr>
                      <w:rFonts w:ascii="宋体" w:hAnsi="宋体"/>
                      <w:szCs w:val="21"/>
                      <w:highlight w:val="none"/>
                    </w:rPr>
                  </w:pPr>
                  <w:r>
                    <w:rPr>
                      <w:rFonts w:hint="eastAsia" w:ascii="宋体" w:hAnsi="宋体"/>
                      <w:szCs w:val="21"/>
                      <w:highlight w:val="none"/>
                    </w:rPr>
                    <w:t>1.0%</w:t>
                  </w:r>
                </w:p>
              </w:tc>
            </w:tr>
            <w:tr>
              <w:tblPrEx>
                <w:tblLayout w:type="fixed"/>
                <w:tblCellMar>
                  <w:top w:w="0" w:type="dxa"/>
                  <w:left w:w="108" w:type="dxa"/>
                  <w:bottom w:w="0" w:type="dxa"/>
                  <w:right w:w="108" w:type="dxa"/>
                </w:tblCellMar>
              </w:tblPrEx>
              <w:trPr>
                <w:trHeight w:val="454" w:hRule="atLeast"/>
                <w:jc w:val="center"/>
              </w:trPr>
              <w:tc>
                <w:tcPr>
                  <w:tcW w:w="2492"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top"/>
                </w:tcPr>
                <w:p>
                  <w:pPr>
                    <w:adjustRightInd w:val="0"/>
                    <w:snapToGrid w:val="0"/>
                    <w:spacing w:afterLines="0" w:line="400" w:lineRule="exact"/>
                    <w:jc w:val="center"/>
                    <w:rPr>
                      <w:rFonts w:hint="eastAsia" w:ascii="宋体" w:hAnsi="宋体" w:eastAsia="宋体"/>
                      <w:szCs w:val="21"/>
                      <w:highlight w:val="none"/>
                      <w:lang w:eastAsia="zh-CN"/>
                    </w:rPr>
                  </w:pPr>
                  <w:r>
                    <w:rPr>
                      <w:rFonts w:hint="eastAsia" w:ascii="宋体" w:hAnsi="宋体"/>
                      <w:szCs w:val="21"/>
                      <w:highlight w:val="none"/>
                    </w:rPr>
                    <w:t>100</w:t>
                  </w:r>
                  <w:r>
                    <w:rPr>
                      <w:rFonts w:hint="eastAsia" w:ascii="宋体" w:hAnsi="宋体"/>
                      <w:szCs w:val="21"/>
                      <w:highlight w:val="none"/>
                      <w:lang w:eastAsia="zh-CN"/>
                    </w:rPr>
                    <w:t>（含）</w:t>
                  </w:r>
                  <w:r>
                    <w:rPr>
                      <w:rFonts w:hint="eastAsia" w:ascii="宋体" w:hAnsi="宋体"/>
                      <w:szCs w:val="21"/>
                      <w:highlight w:val="none"/>
                    </w:rPr>
                    <w:t>-500</w:t>
                  </w:r>
                  <w:r>
                    <w:rPr>
                      <w:rFonts w:hint="eastAsia" w:ascii="宋体" w:hAnsi="宋体"/>
                      <w:szCs w:val="21"/>
                      <w:highlight w:val="none"/>
                      <w:lang w:eastAsia="zh-CN"/>
                    </w:rPr>
                    <w:t>（不含）</w:t>
                  </w:r>
                </w:p>
              </w:tc>
              <w:tc>
                <w:tcPr>
                  <w:tcW w:w="967" w:type="dxa"/>
                  <w:tcBorders>
                    <w:top w:val="single" w:color="000000" w:sz="6" w:space="0"/>
                    <w:left w:val="single" w:color="000000" w:sz="6" w:space="0"/>
                    <w:bottom w:val="single" w:color="000000" w:sz="6" w:space="0"/>
                    <w:right w:val="single" w:color="auto" w:sz="4" w:space="0"/>
                  </w:tcBorders>
                  <w:tcMar>
                    <w:top w:w="15" w:type="dxa"/>
                    <w:left w:w="15" w:type="dxa"/>
                    <w:bottom w:w="15" w:type="dxa"/>
                    <w:right w:w="15" w:type="dxa"/>
                  </w:tcMar>
                  <w:vAlign w:val="top"/>
                </w:tcPr>
                <w:p>
                  <w:pPr>
                    <w:adjustRightInd w:val="0"/>
                    <w:snapToGrid w:val="0"/>
                    <w:spacing w:afterLines="0" w:line="400" w:lineRule="exact"/>
                    <w:jc w:val="center"/>
                    <w:rPr>
                      <w:rFonts w:ascii="宋体" w:hAnsi="宋体"/>
                      <w:szCs w:val="21"/>
                      <w:highlight w:val="none"/>
                    </w:rPr>
                  </w:pPr>
                  <w:r>
                    <w:rPr>
                      <w:rFonts w:hint="eastAsia" w:ascii="宋体" w:hAnsi="宋体"/>
                      <w:szCs w:val="21"/>
                      <w:highlight w:val="none"/>
                    </w:rPr>
                    <w:t>1.1%</w:t>
                  </w:r>
                </w:p>
              </w:tc>
              <w:tc>
                <w:tcPr>
                  <w:tcW w:w="974" w:type="dxa"/>
                  <w:tcBorders>
                    <w:top w:val="single" w:color="000000" w:sz="6" w:space="0"/>
                    <w:left w:val="single" w:color="000000" w:sz="6" w:space="0"/>
                    <w:bottom w:val="single" w:color="000000" w:sz="6" w:space="0"/>
                    <w:right w:val="single" w:color="auto" w:sz="4" w:space="0"/>
                  </w:tcBorders>
                  <w:tcMar>
                    <w:top w:w="15" w:type="dxa"/>
                    <w:left w:w="15" w:type="dxa"/>
                    <w:bottom w:w="15" w:type="dxa"/>
                    <w:right w:w="15" w:type="dxa"/>
                  </w:tcMar>
                  <w:vAlign w:val="top"/>
                </w:tcPr>
                <w:p>
                  <w:pPr>
                    <w:adjustRightInd w:val="0"/>
                    <w:snapToGrid w:val="0"/>
                    <w:spacing w:afterLines="0" w:line="400" w:lineRule="exact"/>
                    <w:jc w:val="center"/>
                    <w:rPr>
                      <w:rFonts w:ascii="宋体" w:hAnsi="宋体"/>
                      <w:szCs w:val="21"/>
                      <w:highlight w:val="none"/>
                    </w:rPr>
                  </w:pPr>
                  <w:r>
                    <w:rPr>
                      <w:rFonts w:hint="eastAsia" w:ascii="宋体" w:hAnsi="宋体"/>
                      <w:szCs w:val="21"/>
                      <w:highlight w:val="none"/>
                    </w:rPr>
                    <w:t>0.8%</w:t>
                  </w:r>
                </w:p>
              </w:tc>
              <w:tc>
                <w:tcPr>
                  <w:tcW w:w="1065" w:type="dxa"/>
                  <w:tcBorders>
                    <w:top w:val="single" w:color="000000" w:sz="6" w:space="0"/>
                    <w:left w:val="single" w:color="000000" w:sz="6" w:space="0"/>
                    <w:bottom w:val="single" w:color="000000" w:sz="6" w:space="0"/>
                    <w:right w:val="single" w:color="auto" w:sz="4" w:space="0"/>
                  </w:tcBorders>
                  <w:tcMar>
                    <w:top w:w="15" w:type="dxa"/>
                    <w:left w:w="15" w:type="dxa"/>
                    <w:bottom w:w="15" w:type="dxa"/>
                    <w:right w:w="15" w:type="dxa"/>
                  </w:tcMar>
                  <w:vAlign w:val="top"/>
                </w:tcPr>
                <w:p>
                  <w:pPr>
                    <w:adjustRightInd w:val="0"/>
                    <w:snapToGrid w:val="0"/>
                    <w:spacing w:afterLines="0" w:line="400" w:lineRule="exact"/>
                    <w:jc w:val="center"/>
                    <w:rPr>
                      <w:rFonts w:ascii="宋体" w:hAnsi="宋体"/>
                      <w:szCs w:val="21"/>
                      <w:highlight w:val="none"/>
                    </w:rPr>
                  </w:pPr>
                  <w:r>
                    <w:rPr>
                      <w:rFonts w:hint="eastAsia" w:ascii="宋体" w:hAnsi="宋体"/>
                      <w:szCs w:val="21"/>
                      <w:highlight w:val="none"/>
                    </w:rPr>
                    <w:t>0.7%</w:t>
                  </w:r>
                </w:p>
              </w:tc>
            </w:tr>
            <w:tr>
              <w:tblPrEx>
                <w:tblLayout w:type="fixed"/>
                <w:tblCellMar>
                  <w:top w:w="0" w:type="dxa"/>
                  <w:left w:w="108" w:type="dxa"/>
                  <w:bottom w:w="0" w:type="dxa"/>
                  <w:right w:w="108" w:type="dxa"/>
                </w:tblCellMar>
              </w:tblPrEx>
              <w:trPr>
                <w:trHeight w:val="454" w:hRule="atLeast"/>
                <w:jc w:val="center"/>
              </w:trPr>
              <w:tc>
                <w:tcPr>
                  <w:tcW w:w="2492"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top"/>
                </w:tcPr>
                <w:p>
                  <w:pPr>
                    <w:adjustRightInd w:val="0"/>
                    <w:snapToGrid w:val="0"/>
                    <w:spacing w:afterLines="0" w:line="400" w:lineRule="exact"/>
                    <w:jc w:val="center"/>
                    <w:rPr>
                      <w:rFonts w:ascii="宋体" w:hAnsi="宋体"/>
                      <w:szCs w:val="21"/>
                      <w:highlight w:val="none"/>
                    </w:rPr>
                  </w:pPr>
                  <w:r>
                    <w:rPr>
                      <w:rFonts w:hint="eastAsia" w:ascii="宋体" w:hAnsi="宋体"/>
                      <w:szCs w:val="21"/>
                      <w:highlight w:val="none"/>
                    </w:rPr>
                    <w:t>500</w:t>
                  </w:r>
                  <w:r>
                    <w:rPr>
                      <w:rFonts w:hint="eastAsia" w:ascii="宋体" w:hAnsi="宋体"/>
                      <w:szCs w:val="21"/>
                      <w:highlight w:val="none"/>
                      <w:lang w:eastAsia="zh-CN"/>
                    </w:rPr>
                    <w:t>（含）</w:t>
                  </w:r>
                  <w:r>
                    <w:rPr>
                      <w:rFonts w:hint="eastAsia" w:ascii="宋体" w:hAnsi="宋体"/>
                      <w:szCs w:val="21"/>
                      <w:highlight w:val="none"/>
                    </w:rPr>
                    <w:t>-1000</w:t>
                  </w:r>
                  <w:r>
                    <w:rPr>
                      <w:rFonts w:hint="eastAsia" w:ascii="宋体" w:hAnsi="宋体"/>
                      <w:szCs w:val="21"/>
                      <w:highlight w:val="none"/>
                      <w:lang w:eastAsia="zh-CN"/>
                    </w:rPr>
                    <w:t>（不含）</w:t>
                  </w:r>
                </w:p>
              </w:tc>
              <w:tc>
                <w:tcPr>
                  <w:tcW w:w="967" w:type="dxa"/>
                  <w:tcBorders>
                    <w:top w:val="single" w:color="000000" w:sz="6" w:space="0"/>
                    <w:left w:val="single" w:color="000000" w:sz="6" w:space="0"/>
                    <w:bottom w:val="single" w:color="000000" w:sz="6" w:space="0"/>
                    <w:right w:val="single" w:color="auto" w:sz="4" w:space="0"/>
                  </w:tcBorders>
                  <w:tcMar>
                    <w:top w:w="15" w:type="dxa"/>
                    <w:left w:w="15" w:type="dxa"/>
                    <w:bottom w:w="15" w:type="dxa"/>
                    <w:right w:w="15" w:type="dxa"/>
                  </w:tcMar>
                  <w:vAlign w:val="top"/>
                </w:tcPr>
                <w:p>
                  <w:pPr>
                    <w:adjustRightInd w:val="0"/>
                    <w:snapToGrid w:val="0"/>
                    <w:spacing w:afterLines="0" w:line="400" w:lineRule="exact"/>
                    <w:jc w:val="center"/>
                    <w:rPr>
                      <w:rFonts w:ascii="宋体" w:hAnsi="宋体"/>
                      <w:szCs w:val="21"/>
                      <w:highlight w:val="none"/>
                    </w:rPr>
                  </w:pPr>
                  <w:r>
                    <w:rPr>
                      <w:rFonts w:hint="eastAsia" w:ascii="宋体" w:hAnsi="宋体"/>
                      <w:szCs w:val="21"/>
                      <w:highlight w:val="none"/>
                    </w:rPr>
                    <w:t>0.8%</w:t>
                  </w:r>
                </w:p>
              </w:tc>
              <w:tc>
                <w:tcPr>
                  <w:tcW w:w="974" w:type="dxa"/>
                  <w:tcBorders>
                    <w:top w:val="single" w:color="000000" w:sz="6" w:space="0"/>
                    <w:left w:val="single" w:color="000000" w:sz="6" w:space="0"/>
                    <w:bottom w:val="single" w:color="000000" w:sz="6" w:space="0"/>
                    <w:right w:val="single" w:color="auto" w:sz="4" w:space="0"/>
                  </w:tcBorders>
                  <w:tcMar>
                    <w:top w:w="15" w:type="dxa"/>
                    <w:left w:w="15" w:type="dxa"/>
                    <w:bottom w:w="15" w:type="dxa"/>
                    <w:right w:w="15" w:type="dxa"/>
                  </w:tcMar>
                  <w:vAlign w:val="top"/>
                </w:tcPr>
                <w:p>
                  <w:pPr>
                    <w:adjustRightInd w:val="0"/>
                    <w:snapToGrid w:val="0"/>
                    <w:spacing w:afterLines="0" w:line="400" w:lineRule="exact"/>
                    <w:jc w:val="center"/>
                    <w:rPr>
                      <w:rFonts w:ascii="宋体" w:hAnsi="宋体"/>
                      <w:szCs w:val="21"/>
                      <w:highlight w:val="none"/>
                    </w:rPr>
                  </w:pPr>
                  <w:r>
                    <w:rPr>
                      <w:rFonts w:hint="eastAsia" w:ascii="宋体" w:hAnsi="宋体"/>
                      <w:szCs w:val="21"/>
                      <w:highlight w:val="none"/>
                    </w:rPr>
                    <w:t>0.45%</w:t>
                  </w:r>
                </w:p>
              </w:tc>
              <w:tc>
                <w:tcPr>
                  <w:tcW w:w="1065" w:type="dxa"/>
                  <w:tcBorders>
                    <w:top w:val="single" w:color="000000" w:sz="6" w:space="0"/>
                    <w:left w:val="single" w:color="000000" w:sz="6" w:space="0"/>
                    <w:bottom w:val="single" w:color="000000" w:sz="6" w:space="0"/>
                    <w:right w:val="single" w:color="auto" w:sz="4" w:space="0"/>
                  </w:tcBorders>
                  <w:tcMar>
                    <w:top w:w="15" w:type="dxa"/>
                    <w:left w:w="15" w:type="dxa"/>
                    <w:bottom w:w="15" w:type="dxa"/>
                    <w:right w:w="15" w:type="dxa"/>
                  </w:tcMar>
                  <w:vAlign w:val="top"/>
                </w:tcPr>
                <w:p>
                  <w:pPr>
                    <w:adjustRightInd w:val="0"/>
                    <w:snapToGrid w:val="0"/>
                    <w:spacing w:afterLines="0" w:line="400" w:lineRule="exact"/>
                    <w:jc w:val="center"/>
                    <w:rPr>
                      <w:rFonts w:ascii="宋体" w:hAnsi="宋体"/>
                      <w:szCs w:val="21"/>
                      <w:highlight w:val="none"/>
                    </w:rPr>
                  </w:pPr>
                  <w:r>
                    <w:rPr>
                      <w:rFonts w:hint="eastAsia" w:ascii="宋体" w:hAnsi="宋体"/>
                      <w:szCs w:val="21"/>
                      <w:highlight w:val="none"/>
                    </w:rPr>
                    <w:t>0.55%</w:t>
                  </w:r>
                </w:p>
              </w:tc>
            </w:tr>
            <w:tr>
              <w:tblPrEx>
                <w:tblLayout w:type="fixed"/>
                <w:tblCellMar>
                  <w:top w:w="0" w:type="dxa"/>
                  <w:left w:w="108" w:type="dxa"/>
                  <w:bottom w:w="0" w:type="dxa"/>
                  <w:right w:w="108" w:type="dxa"/>
                </w:tblCellMar>
              </w:tblPrEx>
              <w:trPr>
                <w:trHeight w:val="454" w:hRule="atLeast"/>
                <w:jc w:val="center"/>
              </w:trPr>
              <w:tc>
                <w:tcPr>
                  <w:tcW w:w="2492"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top"/>
                </w:tcPr>
                <w:p>
                  <w:pPr>
                    <w:adjustRightInd w:val="0"/>
                    <w:snapToGrid w:val="0"/>
                    <w:spacing w:afterLines="0" w:line="400" w:lineRule="exact"/>
                    <w:jc w:val="center"/>
                    <w:rPr>
                      <w:rFonts w:ascii="宋体" w:hAnsi="宋体"/>
                      <w:szCs w:val="21"/>
                      <w:highlight w:val="none"/>
                    </w:rPr>
                  </w:pPr>
                  <w:r>
                    <w:rPr>
                      <w:rFonts w:hint="eastAsia" w:ascii="宋体" w:hAnsi="宋体"/>
                      <w:szCs w:val="21"/>
                      <w:highlight w:val="none"/>
                    </w:rPr>
                    <w:t>1000</w:t>
                  </w:r>
                  <w:r>
                    <w:rPr>
                      <w:rFonts w:hint="eastAsia" w:ascii="宋体" w:hAnsi="宋体"/>
                      <w:szCs w:val="21"/>
                      <w:highlight w:val="none"/>
                      <w:lang w:eastAsia="zh-CN"/>
                    </w:rPr>
                    <w:t>（含）</w:t>
                  </w:r>
                  <w:r>
                    <w:rPr>
                      <w:rFonts w:hint="eastAsia" w:ascii="宋体" w:hAnsi="宋体"/>
                      <w:szCs w:val="21"/>
                      <w:highlight w:val="none"/>
                    </w:rPr>
                    <w:t>-5000</w:t>
                  </w:r>
                  <w:r>
                    <w:rPr>
                      <w:rFonts w:hint="eastAsia" w:ascii="宋体" w:hAnsi="宋体"/>
                      <w:szCs w:val="21"/>
                      <w:highlight w:val="none"/>
                      <w:lang w:eastAsia="zh-CN"/>
                    </w:rPr>
                    <w:t>（不含）</w:t>
                  </w:r>
                </w:p>
              </w:tc>
              <w:tc>
                <w:tcPr>
                  <w:tcW w:w="967" w:type="dxa"/>
                  <w:tcBorders>
                    <w:top w:val="single" w:color="000000" w:sz="6" w:space="0"/>
                    <w:left w:val="single" w:color="000000" w:sz="6" w:space="0"/>
                    <w:bottom w:val="single" w:color="000000" w:sz="6" w:space="0"/>
                    <w:right w:val="single" w:color="auto" w:sz="4" w:space="0"/>
                  </w:tcBorders>
                  <w:tcMar>
                    <w:top w:w="15" w:type="dxa"/>
                    <w:left w:w="15" w:type="dxa"/>
                    <w:bottom w:w="15" w:type="dxa"/>
                    <w:right w:w="15" w:type="dxa"/>
                  </w:tcMar>
                  <w:vAlign w:val="top"/>
                </w:tcPr>
                <w:p>
                  <w:pPr>
                    <w:adjustRightInd w:val="0"/>
                    <w:snapToGrid w:val="0"/>
                    <w:spacing w:afterLines="0" w:line="400" w:lineRule="exact"/>
                    <w:jc w:val="center"/>
                    <w:rPr>
                      <w:rFonts w:ascii="宋体" w:hAnsi="宋体"/>
                      <w:szCs w:val="21"/>
                      <w:highlight w:val="none"/>
                    </w:rPr>
                  </w:pPr>
                  <w:r>
                    <w:rPr>
                      <w:rFonts w:hint="eastAsia" w:ascii="宋体" w:hAnsi="宋体"/>
                      <w:szCs w:val="21"/>
                      <w:highlight w:val="none"/>
                    </w:rPr>
                    <w:t>0.</w:t>
                  </w:r>
                  <w:r>
                    <w:rPr>
                      <w:rFonts w:hint="eastAsia" w:ascii="宋体" w:hAnsi="宋体"/>
                      <w:szCs w:val="21"/>
                      <w:highlight w:val="none"/>
                      <w:lang w:val="en-US" w:eastAsia="zh-CN"/>
                    </w:rPr>
                    <w:t>36</w:t>
                  </w:r>
                  <w:r>
                    <w:rPr>
                      <w:rFonts w:hint="eastAsia" w:ascii="宋体" w:hAnsi="宋体"/>
                      <w:szCs w:val="21"/>
                      <w:highlight w:val="none"/>
                    </w:rPr>
                    <w:t>%</w:t>
                  </w:r>
                </w:p>
              </w:tc>
              <w:tc>
                <w:tcPr>
                  <w:tcW w:w="974" w:type="dxa"/>
                  <w:tcBorders>
                    <w:top w:val="single" w:color="000000" w:sz="6" w:space="0"/>
                    <w:left w:val="single" w:color="000000" w:sz="6" w:space="0"/>
                    <w:bottom w:val="single" w:color="000000" w:sz="6" w:space="0"/>
                    <w:right w:val="single" w:color="auto" w:sz="4" w:space="0"/>
                  </w:tcBorders>
                  <w:tcMar>
                    <w:top w:w="15" w:type="dxa"/>
                    <w:left w:w="15" w:type="dxa"/>
                    <w:bottom w:w="15" w:type="dxa"/>
                    <w:right w:w="15" w:type="dxa"/>
                  </w:tcMar>
                  <w:vAlign w:val="top"/>
                </w:tcPr>
                <w:p>
                  <w:pPr>
                    <w:adjustRightInd w:val="0"/>
                    <w:snapToGrid w:val="0"/>
                    <w:spacing w:afterLines="0" w:line="400" w:lineRule="exact"/>
                    <w:jc w:val="center"/>
                    <w:rPr>
                      <w:rFonts w:ascii="宋体" w:hAnsi="宋体"/>
                      <w:szCs w:val="21"/>
                      <w:highlight w:val="none"/>
                    </w:rPr>
                  </w:pPr>
                  <w:r>
                    <w:rPr>
                      <w:rFonts w:hint="eastAsia" w:ascii="宋体" w:hAnsi="宋体"/>
                      <w:szCs w:val="21"/>
                      <w:highlight w:val="none"/>
                    </w:rPr>
                    <w:t>0.</w:t>
                  </w:r>
                  <w:r>
                    <w:rPr>
                      <w:rFonts w:hint="eastAsia" w:ascii="宋体" w:hAnsi="宋体"/>
                      <w:szCs w:val="21"/>
                      <w:highlight w:val="none"/>
                      <w:lang w:val="en-US" w:eastAsia="zh-CN"/>
                    </w:rPr>
                    <w:t>18</w:t>
                  </w:r>
                  <w:r>
                    <w:rPr>
                      <w:rFonts w:hint="eastAsia" w:ascii="宋体" w:hAnsi="宋体"/>
                      <w:szCs w:val="21"/>
                      <w:highlight w:val="none"/>
                    </w:rPr>
                    <w:t>%</w:t>
                  </w:r>
                </w:p>
              </w:tc>
              <w:tc>
                <w:tcPr>
                  <w:tcW w:w="1065" w:type="dxa"/>
                  <w:tcBorders>
                    <w:top w:val="single" w:color="000000" w:sz="6" w:space="0"/>
                    <w:left w:val="single" w:color="000000" w:sz="6" w:space="0"/>
                    <w:bottom w:val="single" w:color="000000" w:sz="6" w:space="0"/>
                    <w:right w:val="single" w:color="auto" w:sz="4" w:space="0"/>
                  </w:tcBorders>
                  <w:tcMar>
                    <w:top w:w="15" w:type="dxa"/>
                    <w:left w:w="15" w:type="dxa"/>
                    <w:bottom w:w="15" w:type="dxa"/>
                    <w:right w:w="15" w:type="dxa"/>
                  </w:tcMar>
                  <w:vAlign w:val="top"/>
                </w:tcPr>
                <w:p>
                  <w:pPr>
                    <w:adjustRightInd w:val="0"/>
                    <w:snapToGrid w:val="0"/>
                    <w:spacing w:afterLines="0" w:line="400" w:lineRule="exact"/>
                    <w:jc w:val="center"/>
                    <w:rPr>
                      <w:rFonts w:ascii="宋体" w:hAnsi="宋体"/>
                      <w:szCs w:val="21"/>
                      <w:highlight w:val="none"/>
                    </w:rPr>
                  </w:pPr>
                  <w:r>
                    <w:rPr>
                      <w:rFonts w:hint="eastAsia" w:ascii="宋体" w:hAnsi="宋体"/>
                      <w:szCs w:val="21"/>
                      <w:highlight w:val="none"/>
                    </w:rPr>
                    <w:t>0.</w:t>
                  </w:r>
                  <w:r>
                    <w:rPr>
                      <w:rFonts w:hint="eastAsia" w:ascii="宋体" w:hAnsi="宋体"/>
                      <w:szCs w:val="21"/>
                      <w:highlight w:val="none"/>
                      <w:lang w:val="en-US" w:eastAsia="zh-CN"/>
                    </w:rPr>
                    <w:t>252</w:t>
                  </w:r>
                  <w:r>
                    <w:rPr>
                      <w:rFonts w:hint="eastAsia" w:ascii="宋体" w:hAnsi="宋体"/>
                      <w:szCs w:val="21"/>
                      <w:highlight w:val="none"/>
                    </w:rPr>
                    <w:t>%</w:t>
                  </w:r>
                </w:p>
              </w:tc>
            </w:tr>
            <w:tr>
              <w:tblPrEx>
                <w:tblLayout w:type="fixed"/>
                <w:tblCellMar>
                  <w:top w:w="0" w:type="dxa"/>
                  <w:left w:w="108" w:type="dxa"/>
                  <w:bottom w:w="0" w:type="dxa"/>
                  <w:right w:w="108" w:type="dxa"/>
                </w:tblCellMar>
              </w:tblPrEx>
              <w:trPr>
                <w:trHeight w:val="454" w:hRule="atLeast"/>
                <w:jc w:val="center"/>
              </w:trPr>
              <w:tc>
                <w:tcPr>
                  <w:tcW w:w="2492"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top"/>
                </w:tcPr>
                <w:p>
                  <w:pPr>
                    <w:adjustRightInd w:val="0"/>
                    <w:snapToGrid w:val="0"/>
                    <w:spacing w:afterLines="0" w:line="400" w:lineRule="exact"/>
                    <w:jc w:val="center"/>
                    <w:rPr>
                      <w:rFonts w:ascii="宋体" w:hAnsi="宋体"/>
                      <w:szCs w:val="21"/>
                      <w:highlight w:val="none"/>
                    </w:rPr>
                  </w:pPr>
                  <w:r>
                    <w:rPr>
                      <w:rFonts w:hint="eastAsia" w:ascii="宋体" w:hAnsi="宋体"/>
                      <w:szCs w:val="21"/>
                      <w:highlight w:val="none"/>
                    </w:rPr>
                    <w:t>5000</w:t>
                  </w:r>
                  <w:r>
                    <w:rPr>
                      <w:rFonts w:hint="eastAsia" w:ascii="宋体" w:hAnsi="宋体"/>
                      <w:szCs w:val="21"/>
                      <w:highlight w:val="none"/>
                      <w:lang w:eastAsia="zh-CN"/>
                    </w:rPr>
                    <w:t>（含）</w:t>
                  </w:r>
                  <w:r>
                    <w:rPr>
                      <w:rFonts w:hint="eastAsia" w:ascii="宋体" w:hAnsi="宋体"/>
                      <w:szCs w:val="21"/>
                      <w:highlight w:val="none"/>
                    </w:rPr>
                    <w:t>-10000</w:t>
                  </w:r>
                  <w:r>
                    <w:rPr>
                      <w:rFonts w:hint="eastAsia" w:ascii="宋体" w:hAnsi="宋体"/>
                      <w:szCs w:val="21"/>
                      <w:highlight w:val="none"/>
                      <w:lang w:eastAsia="zh-CN"/>
                    </w:rPr>
                    <w:t>（不含）</w:t>
                  </w:r>
                </w:p>
              </w:tc>
              <w:tc>
                <w:tcPr>
                  <w:tcW w:w="967" w:type="dxa"/>
                  <w:tcBorders>
                    <w:top w:val="single" w:color="000000" w:sz="6" w:space="0"/>
                    <w:left w:val="single" w:color="000000" w:sz="6" w:space="0"/>
                    <w:bottom w:val="single" w:color="000000" w:sz="6" w:space="0"/>
                    <w:right w:val="single" w:color="auto" w:sz="4" w:space="0"/>
                  </w:tcBorders>
                  <w:tcMar>
                    <w:top w:w="15" w:type="dxa"/>
                    <w:left w:w="15" w:type="dxa"/>
                    <w:bottom w:w="15" w:type="dxa"/>
                    <w:right w:w="15" w:type="dxa"/>
                  </w:tcMar>
                  <w:vAlign w:val="top"/>
                </w:tcPr>
                <w:p>
                  <w:pPr>
                    <w:adjustRightInd w:val="0"/>
                    <w:snapToGrid w:val="0"/>
                    <w:spacing w:afterLines="0" w:line="400" w:lineRule="exact"/>
                    <w:jc w:val="center"/>
                    <w:rPr>
                      <w:rFonts w:ascii="宋体" w:hAnsi="宋体"/>
                      <w:szCs w:val="21"/>
                      <w:highlight w:val="none"/>
                    </w:rPr>
                  </w:pPr>
                  <w:r>
                    <w:rPr>
                      <w:rFonts w:hint="eastAsia" w:ascii="宋体" w:hAnsi="宋体"/>
                      <w:szCs w:val="21"/>
                      <w:highlight w:val="none"/>
                    </w:rPr>
                    <w:t>0.</w:t>
                  </w:r>
                  <w:r>
                    <w:rPr>
                      <w:rFonts w:hint="eastAsia" w:ascii="宋体" w:hAnsi="宋体"/>
                      <w:szCs w:val="21"/>
                      <w:highlight w:val="none"/>
                      <w:lang w:val="en-US" w:eastAsia="zh-CN"/>
                    </w:rPr>
                    <w:t>16</w:t>
                  </w:r>
                  <w:r>
                    <w:rPr>
                      <w:rFonts w:hint="eastAsia" w:ascii="宋体" w:hAnsi="宋体"/>
                      <w:szCs w:val="21"/>
                      <w:highlight w:val="none"/>
                    </w:rPr>
                    <w:t>%</w:t>
                  </w:r>
                </w:p>
              </w:tc>
              <w:tc>
                <w:tcPr>
                  <w:tcW w:w="974" w:type="dxa"/>
                  <w:tcBorders>
                    <w:top w:val="single" w:color="000000" w:sz="6" w:space="0"/>
                    <w:left w:val="single" w:color="000000" w:sz="6" w:space="0"/>
                    <w:bottom w:val="single" w:color="000000" w:sz="6" w:space="0"/>
                    <w:right w:val="single" w:color="auto" w:sz="4" w:space="0"/>
                  </w:tcBorders>
                  <w:tcMar>
                    <w:top w:w="15" w:type="dxa"/>
                    <w:left w:w="15" w:type="dxa"/>
                    <w:bottom w:w="15" w:type="dxa"/>
                    <w:right w:w="15" w:type="dxa"/>
                  </w:tcMar>
                  <w:vAlign w:val="top"/>
                </w:tcPr>
                <w:p>
                  <w:pPr>
                    <w:adjustRightInd w:val="0"/>
                    <w:snapToGrid w:val="0"/>
                    <w:spacing w:afterLines="0" w:line="400" w:lineRule="exact"/>
                    <w:jc w:val="center"/>
                    <w:rPr>
                      <w:rFonts w:ascii="宋体" w:hAnsi="宋体"/>
                      <w:szCs w:val="21"/>
                      <w:highlight w:val="none"/>
                    </w:rPr>
                  </w:pPr>
                  <w:r>
                    <w:rPr>
                      <w:rFonts w:hint="eastAsia" w:ascii="宋体" w:hAnsi="宋体"/>
                      <w:szCs w:val="21"/>
                      <w:highlight w:val="none"/>
                    </w:rPr>
                    <w:t>0.0</w:t>
                  </w:r>
                  <w:r>
                    <w:rPr>
                      <w:rFonts w:hint="eastAsia" w:ascii="宋体" w:hAnsi="宋体"/>
                      <w:szCs w:val="21"/>
                      <w:highlight w:val="none"/>
                      <w:lang w:val="en-US" w:eastAsia="zh-CN"/>
                    </w:rPr>
                    <w:t>64</w:t>
                  </w:r>
                  <w:r>
                    <w:rPr>
                      <w:rFonts w:hint="eastAsia" w:ascii="宋体" w:hAnsi="宋体"/>
                      <w:szCs w:val="21"/>
                      <w:highlight w:val="none"/>
                    </w:rPr>
                    <w:t>%</w:t>
                  </w:r>
                </w:p>
              </w:tc>
              <w:tc>
                <w:tcPr>
                  <w:tcW w:w="1065" w:type="dxa"/>
                  <w:tcBorders>
                    <w:top w:val="single" w:color="000000" w:sz="6" w:space="0"/>
                    <w:left w:val="single" w:color="000000" w:sz="6" w:space="0"/>
                    <w:bottom w:val="single" w:color="000000" w:sz="6" w:space="0"/>
                    <w:right w:val="single" w:color="auto" w:sz="4" w:space="0"/>
                  </w:tcBorders>
                  <w:tcMar>
                    <w:top w:w="15" w:type="dxa"/>
                    <w:left w:w="15" w:type="dxa"/>
                    <w:bottom w:w="15" w:type="dxa"/>
                    <w:right w:w="15" w:type="dxa"/>
                  </w:tcMar>
                  <w:vAlign w:val="top"/>
                </w:tcPr>
                <w:p>
                  <w:pPr>
                    <w:adjustRightInd w:val="0"/>
                    <w:snapToGrid w:val="0"/>
                    <w:spacing w:afterLines="0" w:line="400" w:lineRule="exact"/>
                    <w:jc w:val="center"/>
                    <w:rPr>
                      <w:rFonts w:ascii="宋体" w:hAnsi="宋体"/>
                      <w:szCs w:val="21"/>
                      <w:highlight w:val="none"/>
                    </w:rPr>
                  </w:pPr>
                  <w:r>
                    <w:rPr>
                      <w:rFonts w:hint="eastAsia" w:ascii="宋体" w:hAnsi="宋体"/>
                      <w:szCs w:val="21"/>
                      <w:highlight w:val="none"/>
                    </w:rPr>
                    <w:t>0.1</w:t>
                  </w:r>
                  <w:r>
                    <w:rPr>
                      <w:rFonts w:hint="eastAsia" w:ascii="宋体" w:hAnsi="宋体"/>
                      <w:szCs w:val="21"/>
                      <w:highlight w:val="none"/>
                      <w:lang w:val="en-US" w:eastAsia="zh-CN"/>
                    </w:rPr>
                    <w:t>28</w:t>
                  </w:r>
                  <w:r>
                    <w:rPr>
                      <w:rFonts w:hint="eastAsia" w:ascii="宋体" w:hAnsi="宋体"/>
                      <w:szCs w:val="21"/>
                      <w:highlight w:val="none"/>
                    </w:rPr>
                    <w:t>%</w:t>
                  </w:r>
                </w:p>
              </w:tc>
            </w:tr>
            <w:tr>
              <w:tblPrEx>
                <w:tblLayout w:type="fixed"/>
                <w:tblCellMar>
                  <w:top w:w="0" w:type="dxa"/>
                  <w:left w:w="108" w:type="dxa"/>
                  <w:bottom w:w="0" w:type="dxa"/>
                  <w:right w:w="108" w:type="dxa"/>
                </w:tblCellMar>
              </w:tblPrEx>
              <w:trPr>
                <w:trHeight w:val="454" w:hRule="atLeast"/>
                <w:jc w:val="center"/>
              </w:trPr>
              <w:tc>
                <w:tcPr>
                  <w:tcW w:w="2492"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top"/>
                </w:tcPr>
                <w:p>
                  <w:pPr>
                    <w:adjustRightInd w:val="0"/>
                    <w:snapToGrid w:val="0"/>
                    <w:spacing w:afterLines="0" w:line="400" w:lineRule="exact"/>
                    <w:jc w:val="center"/>
                    <w:rPr>
                      <w:rFonts w:hint="eastAsia" w:ascii="宋体" w:hAnsi="宋体"/>
                      <w:szCs w:val="21"/>
                      <w:highlight w:val="none"/>
                    </w:rPr>
                  </w:pPr>
                  <w:r>
                    <w:rPr>
                      <w:rFonts w:hint="eastAsia" w:ascii="宋体" w:hAnsi="宋体"/>
                      <w:szCs w:val="21"/>
                      <w:highlight w:val="none"/>
                    </w:rPr>
                    <w:t>1</w:t>
                  </w:r>
                  <w:r>
                    <w:rPr>
                      <w:rFonts w:ascii="宋体" w:hAnsi="宋体"/>
                      <w:szCs w:val="21"/>
                      <w:highlight w:val="none"/>
                    </w:rPr>
                    <w:t>0000</w:t>
                  </w:r>
                  <w:r>
                    <w:rPr>
                      <w:rFonts w:hint="eastAsia" w:ascii="宋体" w:hAnsi="宋体"/>
                      <w:szCs w:val="21"/>
                      <w:highlight w:val="none"/>
                      <w:lang w:eastAsia="zh-CN"/>
                    </w:rPr>
                    <w:t>（含）</w:t>
                  </w:r>
                  <w:r>
                    <w:rPr>
                      <w:rFonts w:ascii="宋体" w:hAnsi="宋体"/>
                      <w:szCs w:val="21"/>
                      <w:highlight w:val="none"/>
                    </w:rPr>
                    <w:t>-</w:t>
                  </w:r>
                  <w:r>
                    <w:rPr>
                      <w:rFonts w:hint="eastAsia" w:ascii="宋体" w:hAnsi="宋体"/>
                      <w:szCs w:val="21"/>
                      <w:highlight w:val="none"/>
                      <w:lang w:val="en-US" w:eastAsia="zh-CN"/>
                    </w:rPr>
                    <w:t>10</w:t>
                  </w:r>
                  <w:r>
                    <w:rPr>
                      <w:rFonts w:ascii="宋体" w:hAnsi="宋体"/>
                      <w:szCs w:val="21"/>
                      <w:highlight w:val="none"/>
                    </w:rPr>
                    <w:t>0000</w:t>
                  </w:r>
                  <w:r>
                    <w:rPr>
                      <w:rFonts w:hint="eastAsia" w:ascii="宋体" w:hAnsi="宋体"/>
                      <w:szCs w:val="21"/>
                      <w:highlight w:val="none"/>
                      <w:lang w:eastAsia="zh-CN"/>
                    </w:rPr>
                    <w:t>（不含）</w:t>
                  </w:r>
                </w:p>
              </w:tc>
              <w:tc>
                <w:tcPr>
                  <w:tcW w:w="967" w:type="dxa"/>
                  <w:tcBorders>
                    <w:top w:val="single" w:color="000000" w:sz="6" w:space="0"/>
                    <w:left w:val="single" w:color="000000" w:sz="6" w:space="0"/>
                    <w:bottom w:val="single" w:color="000000" w:sz="6" w:space="0"/>
                    <w:right w:val="single" w:color="auto" w:sz="4" w:space="0"/>
                  </w:tcBorders>
                  <w:tcMar>
                    <w:top w:w="15" w:type="dxa"/>
                    <w:left w:w="15" w:type="dxa"/>
                    <w:bottom w:w="15" w:type="dxa"/>
                    <w:right w:w="15" w:type="dxa"/>
                  </w:tcMar>
                  <w:vAlign w:val="top"/>
                </w:tcPr>
                <w:p>
                  <w:pPr>
                    <w:adjustRightInd w:val="0"/>
                    <w:snapToGrid w:val="0"/>
                    <w:spacing w:afterLines="0" w:line="400" w:lineRule="exact"/>
                    <w:jc w:val="center"/>
                    <w:rPr>
                      <w:rFonts w:hint="eastAsia" w:ascii="宋体" w:hAnsi="宋体"/>
                      <w:szCs w:val="21"/>
                      <w:highlight w:val="none"/>
                    </w:rPr>
                  </w:pPr>
                  <w:r>
                    <w:rPr>
                      <w:rFonts w:hint="eastAsia" w:ascii="宋体" w:hAnsi="宋体"/>
                      <w:szCs w:val="21"/>
                      <w:highlight w:val="none"/>
                    </w:rPr>
                    <w:t>0.</w:t>
                  </w:r>
                  <w:r>
                    <w:rPr>
                      <w:rFonts w:ascii="宋体" w:hAnsi="宋体"/>
                      <w:szCs w:val="21"/>
                      <w:highlight w:val="none"/>
                    </w:rPr>
                    <w:t>0</w:t>
                  </w:r>
                  <w:r>
                    <w:rPr>
                      <w:rFonts w:hint="eastAsia" w:ascii="宋体" w:hAnsi="宋体"/>
                      <w:szCs w:val="21"/>
                      <w:highlight w:val="none"/>
                    </w:rPr>
                    <w:t>2%</w:t>
                  </w:r>
                </w:p>
              </w:tc>
              <w:tc>
                <w:tcPr>
                  <w:tcW w:w="974" w:type="dxa"/>
                  <w:tcBorders>
                    <w:top w:val="single" w:color="000000" w:sz="6" w:space="0"/>
                    <w:left w:val="single" w:color="000000" w:sz="6" w:space="0"/>
                    <w:bottom w:val="single" w:color="000000" w:sz="6" w:space="0"/>
                    <w:right w:val="single" w:color="auto" w:sz="4" w:space="0"/>
                  </w:tcBorders>
                  <w:tcMar>
                    <w:top w:w="15" w:type="dxa"/>
                    <w:left w:w="15" w:type="dxa"/>
                    <w:bottom w:w="15" w:type="dxa"/>
                    <w:right w:w="15" w:type="dxa"/>
                  </w:tcMar>
                  <w:vAlign w:val="top"/>
                </w:tcPr>
                <w:p>
                  <w:pPr>
                    <w:adjustRightInd w:val="0"/>
                    <w:snapToGrid w:val="0"/>
                    <w:spacing w:afterLines="0" w:line="400" w:lineRule="exact"/>
                    <w:jc w:val="center"/>
                    <w:rPr>
                      <w:rFonts w:hint="eastAsia" w:ascii="宋体" w:hAnsi="宋体"/>
                      <w:szCs w:val="21"/>
                      <w:highlight w:val="none"/>
                    </w:rPr>
                  </w:pPr>
                  <w:r>
                    <w:rPr>
                      <w:rFonts w:hint="eastAsia" w:ascii="宋体" w:hAnsi="宋体"/>
                      <w:szCs w:val="21"/>
                      <w:highlight w:val="none"/>
                    </w:rPr>
                    <w:t>0.</w:t>
                  </w:r>
                  <w:r>
                    <w:rPr>
                      <w:rFonts w:ascii="宋体" w:hAnsi="宋体"/>
                      <w:szCs w:val="21"/>
                      <w:highlight w:val="none"/>
                    </w:rPr>
                    <w:t>0</w:t>
                  </w:r>
                  <w:r>
                    <w:rPr>
                      <w:rFonts w:hint="eastAsia" w:ascii="宋体" w:hAnsi="宋体"/>
                      <w:szCs w:val="21"/>
                      <w:highlight w:val="none"/>
                    </w:rPr>
                    <w:t>2%</w:t>
                  </w:r>
                </w:p>
              </w:tc>
              <w:tc>
                <w:tcPr>
                  <w:tcW w:w="1065" w:type="dxa"/>
                  <w:tcBorders>
                    <w:top w:val="single" w:color="000000" w:sz="6" w:space="0"/>
                    <w:left w:val="single" w:color="000000" w:sz="6" w:space="0"/>
                    <w:bottom w:val="single" w:color="000000" w:sz="6" w:space="0"/>
                    <w:right w:val="single" w:color="auto" w:sz="4" w:space="0"/>
                  </w:tcBorders>
                  <w:tcMar>
                    <w:top w:w="15" w:type="dxa"/>
                    <w:left w:w="15" w:type="dxa"/>
                    <w:bottom w:w="15" w:type="dxa"/>
                    <w:right w:w="15" w:type="dxa"/>
                  </w:tcMar>
                  <w:vAlign w:val="top"/>
                </w:tcPr>
                <w:p>
                  <w:pPr>
                    <w:adjustRightInd w:val="0"/>
                    <w:snapToGrid w:val="0"/>
                    <w:spacing w:afterLines="0" w:line="400" w:lineRule="exact"/>
                    <w:jc w:val="center"/>
                    <w:rPr>
                      <w:rFonts w:hint="eastAsia" w:ascii="宋体" w:hAnsi="宋体"/>
                      <w:szCs w:val="21"/>
                      <w:highlight w:val="none"/>
                    </w:rPr>
                  </w:pPr>
                  <w:r>
                    <w:rPr>
                      <w:rFonts w:hint="eastAsia" w:ascii="宋体" w:hAnsi="宋体"/>
                      <w:szCs w:val="21"/>
                      <w:highlight w:val="none"/>
                    </w:rPr>
                    <w:t>0.</w:t>
                  </w:r>
                  <w:r>
                    <w:rPr>
                      <w:rFonts w:ascii="宋体" w:hAnsi="宋体"/>
                      <w:szCs w:val="21"/>
                      <w:highlight w:val="none"/>
                    </w:rPr>
                    <w:t>0</w:t>
                  </w:r>
                  <w:r>
                    <w:rPr>
                      <w:rFonts w:hint="eastAsia" w:ascii="宋体" w:hAnsi="宋体"/>
                      <w:szCs w:val="21"/>
                      <w:highlight w:val="none"/>
                    </w:rPr>
                    <w:t>2%</w:t>
                  </w:r>
                </w:p>
              </w:tc>
            </w:tr>
            <w:tr>
              <w:tblPrEx>
                <w:tblLayout w:type="fixed"/>
                <w:tblCellMar>
                  <w:top w:w="0" w:type="dxa"/>
                  <w:left w:w="108" w:type="dxa"/>
                  <w:bottom w:w="0" w:type="dxa"/>
                  <w:right w:w="108" w:type="dxa"/>
                </w:tblCellMar>
              </w:tblPrEx>
              <w:trPr>
                <w:trHeight w:val="454" w:hRule="atLeast"/>
                <w:jc w:val="center"/>
              </w:trPr>
              <w:tc>
                <w:tcPr>
                  <w:tcW w:w="2492"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top"/>
                </w:tcPr>
                <w:p>
                  <w:pPr>
                    <w:adjustRightInd w:val="0"/>
                    <w:snapToGrid w:val="0"/>
                    <w:spacing w:afterLines="0" w:line="400" w:lineRule="exact"/>
                    <w:jc w:val="center"/>
                    <w:rPr>
                      <w:rFonts w:hint="eastAsia" w:ascii="宋体" w:hAnsi="宋体" w:eastAsia="宋体"/>
                      <w:szCs w:val="21"/>
                      <w:highlight w:val="none"/>
                      <w:lang w:eastAsia="zh-CN"/>
                    </w:rPr>
                  </w:pPr>
                  <w:r>
                    <w:rPr>
                      <w:rFonts w:hint="eastAsia" w:ascii="宋体" w:hAnsi="宋体"/>
                      <w:szCs w:val="21"/>
                      <w:highlight w:val="none"/>
                      <w:lang w:val="en-US" w:eastAsia="zh-CN"/>
                    </w:rPr>
                    <w:t>10</w:t>
                  </w:r>
                  <w:r>
                    <w:rPr>
                      <w:rFonts w:ascii="宋体" w:hAnsi="宋体"/>
                      <w:szCs w:val="21"/>
                      <w:highlight w:val="none"/>
                    </w:rPr>
                    <w:t>0000</w:t>
                  </w:r>
                  <w:r>
                    <w:rPr>
                      <w:rFonts w:hint="eastAsia" w:ascii="宋体" w:hAnsi="宋体"/>
                      <w:szCs w:val="21"/>
                      <w:highlight w:val="none"/>
                      <w:lang w:eastAsia="zh-CN"/>
                    </w:rPr>
                    <w:t>（以上）</w:t>
                  </w:r>
                </w:p>
              </w:tc>
              <w:tc>
                <w:tcPr>
                  <w:tcW w:w="967" w:type="dxa"/>
                  <w:tcBorders>
                    <w:top w:val="single" w:color="000000" w:sz="6" w:space="0"/>
                    <w:left w:val="single" w:color="000000" w:sz="6" w:space="0"/>
                    <w:bottom w:val="single" w:color="000000" w:sz="6" w:space="0"/>
                    <w:right w:val="single" w:color="auto" w:sz="4" w:space="0"/>
                  </w:tcBorders>
                  <w:tcMar>
                    <w:top w:w="15" w:type="dxa"/>
                    <w:left w:w="15" w:type="dxa"/>
                    <w:bottom w:w="15" w:type="dxa"/>
                    <w:right w:w="15" w:type="dxa"/>
                  </w:tcMar>
                  <w:vAlign w:val="top"/>
                </w:tcPr>
                <w:p>
                  <w:pPr>
                    <w:adjustRightInd w:val="0"/>
                    <w:snapToGrid w:val="0"/>
                    <w:spacing w:afterLines="0" w:line="40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0.004%</w:t>
                  </w:r>
                </w:p>
              </w:tc>
              <w:tc>
                <w:tcPr>
                  <w:tcW w:w="974" w:type="dxa"/>
                  <w:tcBorders>
                    <w:top w:val="single" w:color="000000" w:sz="6" w:space="0"/>
                    <w:left w:val="single" w:color="000000" w:sz="6" w:space="0"/>
                    <w:bottom w:val="single" w:color="000000" w:sz="6" w:space="0"/>
                    <w:right w:val="single" w:color="auto" w:sz="4" w:space="0"/>
                  </w:tcBorders>
                  <w:tcMar>
                    <w:top w:w="15" w:type="dxa"/>
                    <w:left w:w="15" w:type="dxa"/>
                    <w:bottom w:w="15" w:type="dxa"/>
                    <w:right w:w="15" w:type="dxa"/>
                  </w:tcMar>
                  <w:vAlign w:val="top"/>
                </w:tcPr>
                <w:p>
                  <w:pPr>
                    <w:adjustRightInd w:val="0"/>
                    <w:snapToGrid w:val="0"/>
                    <w:spacing w:afterLines="0" w:line="400" w:lineRule="exact"/>
                    <w:jc w:val="center"/>
                    <w:rPr>
                      <w:rFonts w:hint="eastAsia" w:ascii="宋体" w:hAnsi="宋体"/>
                      <w:szCs w:val="21"/>
                      <w:highlight w:val="none"/>
                    </w:rPr>
                  </w:pPr>
                  <w:r>
                    <w:rPr>
                      <w:rFonts w:hint="eastAsia" w:ascii="宋体" w:hAnsi="宋体"/>
                      <w:szCs w:val="21"/>
                      <w:highlight w:val="none"/>
                      <w:lang w:val="en-US" w:eastAsia="zh-CN"/>
                    </w:rPr>
                    <w:t>0.004%</w:t>
                  </w:r>
                </w:p>
              </w:tc>
              <w:tc>
                <w:tcPr>
                  <w:tcW w:w="1065" w:type="dxa"/>
                  <w:tcBorders>
                    <w:top w:val="single" w:color="000000" w:sz="6" w:space="0"/>
                    <w:left w:val="single" w:color="000000" w:sz="6" w:space="0"/>
                    <w:bottom w:val="single" w:color="000000" w:sz="6" w:space="0"/>
                    <w:right w:val="single" w:color="auto" w:sz="4" w:space="0"/>
                  </w:tcBorders>
                  <w:tcMar>
                    <w:top w:w="15" w:type="dxa"/>
                    <w:left w:w="15" w:type="dxa"/>
                    <w:bottom w:w="15" w:type="dxa"/>
                    <w:right w:w="15" w:type="dxa"/>
                  </w:tcMar>
                  <w:vAlign w:val="top"/>
                </w:tcPr>
                <w:p>
                  <w:pPr>
                    <w:adjustRightInd w:val="0"/>
                    <w:snapToGrid w:val="0"/>
                    <w:spacing w:afterLines="0" w:line="400" w:lineRule="exact"/>
                    <w:jc w:val="center"/>
                    <w:rPr>
                      <w:rFonts w:hint="eastAsia" w:ascii="宋体" w:hAnsi="宋体"/>
                      <w:szCs w:val="21"/>
                      <w:highlight w:val="none"/>
                    </w:rPr>
                  </w:pPr>
                  <w:r>
                    <w:rPr>
                      <w:rFonts w:hint="eastAsia" w:ascii="宋体" w:hAnsi="宋体"/>
                      <w:szCs w:val="21"/>
                      <w:highlight w:val="none"/>
                      <w:lang w:val="en-US" w:eastAsia="zh-CN"/>
                    </w:rPr>
                    <w:t>0.004%</w:t>
                  </w:r>
                </w:p>
              </w:tc>
            </w:tr>
          </w:tbl>
          <w:p>
            <w:pPr>
              <w:adjustRightInd w:val="0"/>
              <w:snapToGrid w:val="0"/>
              <w:spacing w:afterLines="0" w:line="400" w:lineRule="exact"/>
              <w:ind w:firstLine="420" w:firstLineChars="200"/>
              <w:rPr>
                <w:rFonts w:hint="eastAsia" w:ascii="宋体" w:hAnsi="宋体" w:cs="宋体"/>
                <w:szCs w:val="21"/>
                <w:highlight w:val="none"/>
              </w:rPr>
            </w:pPr>
            <w:r>
              <w:rPr>
                <w:rFonts w:hint="eastAsia" w:ascii="宋体" w:hAnsi="宋体" w:cs="宋体"/>
                <w:szCs w:val="21"/>
                <w:highlight w:val="none"/>
              </w:rPr>
              <w:t>注：</w:t>
            </w:r>
          </w:p>
          <w:p>
            <w:pPr>
              <w:adjustRightInd w:val="0"/>
              <w:snapToGrid w:val="0"/>
              <w:spacing w:afterLines="0" w:line="400" w:lineRule="exact"/>
              <w:ind w:firstLine="420" w:firstLineChars="200"/>
              <w:rPr>
                <w:rFonts w:hint="eastAsia" w:ascii="宋体" w:hAnsi="宋体" w:cs="宋体"/>
                <w:szCs w:val="21"/>
                <w:highlight w:val="none"/>
              </w:rPr>
            </w:pPr>
            <w:r>
              <w:rPr>
                <w:rFonts w:hint="eastAsia" w:ascii="宋体" w:hAnsi="宋体" w:cs="宋体"/>
                <w:szCs w:val="21"/>
                <w:highlight w:val="none"/>
              </w:rPr>
              <w:t>（1）按本表费率计算的收费为招标代理服务全过程的收费基准价格。</w:t>
            </w:r>
          </w:p>
          <w:p>
            <w:pPr>
              <w:adjustRightInd w:val="0"/>
              <w:snapToGrid w:val="0"/>
              <w:spacing w:afterLines="0" w:line="400" w:lineRule="exact"/>
              <w:ind w:firstLine="420" w:firstLineChars="200"/>
              <w:rPr>
                <w:rFonts w:hint="eastAsia" w:ascii="宋体" w:hAnsi="宋体" w:cs="宋体"/>
                <w:szCs w:val="21"/>
                <w:highlight w:val="none"/>
              </w:rPr>
            </w:pPr>
            <w:r>
              <w:rPr>
                <w:rFonts w:hint="eastAsia" w:ascii="宋体" w:hAnsi="宋体" w:cs="宋体"/>
                <w:szCs w:val="21"/>
                <w:highlight w:val="none"/>
              </w:rPr>
              <w:t>（2）招标代理服务收费按差额定率累进法计算。</w:t>
            </w:r>
          </w:p>
        </w:tc>
      </w:tr>
      <w:tr>
        <w:tblPrEx>
          <w:tblLayout w:type="fixed"/>
          <w:tblCellMar>
            <w:top w:w="0" w:type="dxa"/>
            <w:left w:w="0" w:type="dxa"/>
            <w:bottom w:w="0" w:type="dxa"/>
            <w:right w:w="0" w:type="dxa"/>
          </w:tblCellMar>
        </w:tblPrEx>
        <w:trPr>
          <w:jc w:val="center"/>
        </w:trPr>
        <w:tc>
          <w:tcPr>
            <w:tcW w:w="1164" w:type="dxa"/>
            <w:tcBorders>
              <w:top w:val="single" w:color="000000" w:sz="4" w:space="0"/>
              <w:left w:val="single" w:color="000000" w:sz="4" w:space="0"/>
              <w:bottom w:val="single" w:color="000000" w:sz="4" w:space="0"/>
              <w:right w:val="single" w:color="000000" w:sz="4" w:space="0"/>
            </w:tcBorders>
            <w:vAlign w:val="center"/>
          </w:tcPr>
          <w:p>
            <w:pPr>
              <w:pStyle w:val="17"/>
              <w:snapToGrid w:val="0"/>
              <w:spacing w:afterLines="0" w:line="400" w:lineRule="exact"/>
              <w:jc w:val="center"/>
              <w:rPr>
                <w:rFonts w:hint="eastAsia" w:hAnsi="宋体" w:cs="宋体"/>
                <w:color w:val="auto"/>
                <w:sz w:val="21"/>
                <w:szCs w:val="21"/>
                <w:highlight w:val="none"/>
              </w:rPr>
            </w:pPr>
            <w:r>
              <w:rPr>
                <w:rFonts w:hint="eastAsia" w:hAnsi="宋体"/>
                <w:bCs/>
                <w:color w:val="auto"/>
                <w:sz w:val="21"/>
                <w:szCs w:val="21"/>
                <w:highlight w:val="none"/>
              </w:rPr>
              <w:t>10</w:t>
            </w:r>
            <w:r>
              <w:rPr>
                <w:rFonts w:hAnsi="宋体"/>
                <w:bCs/>
                <w:color w:val="auto"/>
                <w:sz w:val="21"/>
                <w:szCs w:val="21"/>
                <w:highlight w:val="none"/>
              </w:rPr>
              <w:t>.</w:t>
            </w:r>
            <w:r>
              <w:rPr>
                <w:rFonts w:hint="eastAsia" w:hAnsi="宋体"/>
                <w:bCs/>
                <w:color w:val="auto"/>
                <w:sz w:val="21"/>
                <w:szCs w:val="21"/>
                <w:highlight w:val="none"/>
              </w:rPr>
              <w:t>3</w:t>
            </w:r>
          </w:p>
        </w:tc>
        <w:tc>
          <w:tcPr>
            <w:tcW w:w="1701" w:type="dxa"/>
            <w:tcBorders>
              <w:top w:val="single" w:color="000000" w:sz="4" w:space="0"/>
              <w:left w:val="single" w:color="000000" w:sz="4" w:space="0"/>
              <w:bottom w:val="single" w:color="000000" w:sz="4" w:space="0"/>
              <w:right w:val="single" w:color="auto" w:sz="4" w:space="0"/>
            </w:tcBorders>
            <w:vAlign w:val="center"/>
          </w:tcPr>
          <w:p>
            <w:pPr>
              <w:tabs>
                <w:tab w:val="left" w:pos="1050"/>
                <w:tab w:val="left" w:pos="1470"/>
              </w:tabs>
              <w:snapToGrid w:val="0"/>
              <w:spacing w:afterLines="0" w:line="400" w:lineRule="exact"/>
              <w:rPr>
                <w:rFonts w:hint="eastAsia" w:ascii="宋体" w:hAnsi="宋体" w:cs="宋体"/>
                <w:szCs w:val="21"/>
                <w:highlight w:val="none"/>
              </w:rPr>
            </w:pPr>
            <w:r>
              <w:rPr>
                <w:rFonts w:hint="eastAsia"/>
                <w:highlight w:val="none"/>
                <w:lang w:val="en-GB"/>
              </w:rPr>
              <w:t>综合交易服务费</w:t>
            </w:r>
          </w:p>
        </w:tc>
        <w:tc>
          <w:tcPr>
            <w:tcW w:w="6458" w:type="dxa"/>
            <w:tcBorders>
              <w:top w:val="single" w:color="000000" w:sz="4" w:space="0"/>
              <w:left w:val="single" w:color="auto" w:sz="4" w:space="0"/>
              <w:bottom w:val="single" w:color="000000" w:sz="4" w:space="0"/>
              <w:right w:val="single" w:color="000000" w:sz="4" w:space="0"/>
            </w:tcBorders>
            <w:vAlign w:val="center"/>
          </w:tcPr>
          <w:p>
            <w:pPr>
              <w:tabs>
                <w:tab w:val="left" w:pos="1050"/>
                <w:tab w:val="left" w:pos="1470"/>
              </w:tabs>
              <w:adjustRightInd w:val="0"/>
              <w:snapToGrid w:val="0"/>
              <w:spacing w:afterLines="0" w:line="400" w:lineRule="exact"/>
              <w:ind w:firstLine="420" w:firstLineChars="200"/>
              <w:rPr>
                <w:rFonts w:hint="eastAsia" w:ascii="宋体" w:hAnsi="宋体" w:cs="宋体"/>
                <w:szCs w:val="21"/>
                <w:highlight w:val="none"/>
              </w:rPr>
            </w:pPr>
            <w:r>
              <w:rPr>
                <w:rFonts w:hint="eastAsia" w:ascii="宋体" w:hAnsi="宋体"/>
                <w:kern w:val="0"/>
                <w:szCs w:val="21"/>
                <w:highlight w:val="none"/>
              </w:rPr>
              <w:t>按照重庆市物价局渝价〔2018〕54号文件规定，重庆联合产权交易所集团股份有限公司将向中标人全额收取交易服务费，交易服务费由中标人全额缴纳（含招标人须缴纳部分）。</w:t>
            </w:r>
          </w:p>
        </w:tc>
      </w:tr>
      <w:tr>
        <w:tblPrEx>
          <w:tblLayout w:type="fixed"/>
          <w:tblCellMar>
            <w:top w:w="0" w:type="dxa"/>
            <w:left w:w="0" w:type="dxa"/>
            <w:bottom w:w="0" w:type="dxa"/>
            <w:right w:w="0" w:type="dxa"/>
          </w:tblCellMar>
        </w:tblPrEx>
        <w:trPr>
          <w:jc w:val="center"/>
        </w:trPr>
        <w:tc>
          <w:tcPr>
            <w:tcW w:w="1164" w:type="dxa"/>
            <w:tcBorders>
              <w:top w:val="single" w:color="000000" w:sz="4" w:space="0"/>
              <w:left w:val="single" w:color="000000" w:sz="4" w:space="0"/>
              <w:bottom w:val="single" w:color="000000" w:sz="4" w:space="0"/>
              <w:right w:val="single" w:color="000000" w:sz="4" w:space="0"/>
            </w:tcBorders>
            <w:vAlign w:val="center"/>
          </w:tcPr>
          <w:p>
            <w:pPr>
              <w:snapToGrid w:val="0"/>
              <w:spacing w:afterLines="0" w:line="400" w:lineRule="exact"/>
              <w:jc w:val="center"/>
              <w:rPr>
                <w:rFonts w:hint="eastAsia" w:ascii="宋体" w:hAnsi="宋体" w:cs="宋体"/>
                <w:kern w:val="0"/>
                <w:szCs w:val="21"/>
                <w:highlight w:val="none"/>
              </w:rPr>
            </w:pPr>
            <w:r>
              <w:rPr>
                <w:rFonts w:ascii="宋体" w:hAnsi="宋体" w:cs="宋体"/>
                <w:kern w:val="0"/>
                <w:szCs w:val="21"/>
                <w:highlight w:val="none"/>
              </w:rPr>
              <w:t>10.</w:t>
            </w:r>
            <w:r>
              <w:rPr>
                <w:rFonts w:hint="eastAsia" w:ascii="宋体" w:hAnsi="宋体" w:cs="宋体"/>
                <w:kern w:val="0"/>
                <w:szCs w:val="21"/>
                <w:highlight w:val="none"/>
              </w:rPr>
              <w:t>4</w:t>
            </w: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spacing w:afterLines="0" w:line="400" w:lineRule="exact"/>
              <w:jc w:val="center"/>
              <w:rPr>
                <w:rFonts w:hint="eastAsia" w:ascii="宋体" w:hAnsi="宋体" w:cs="宋体"/>
                <w:kern w:val="0"/>
                <w:szCs w:val="21"/>
                <w:highlight w:val="none"/>
              </w:rPr>
            </w:pPr>
            <w:r>
              <w:rPr>
                <w:rFonts w:hint="eastAsia" w:ascii="宋体" w:hAnsi="宋体" w:cs="宋体"/>
                <w:kern w:val="0"/>
                <w:szCs w:val="21"/>
                <w:highlight w:val="none"/>
              </w:rPr>
              <w:t>支付方式</w:t>
            </w:r>
          </w:p>
        </w:tc>
        <w:tc>
          <w:tcPr>
            <w:tcW w:w="645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Lines="0" w:line="400" w:lineRule="exact"/>
              <w:ind w:firstLine="420" w:firstLineChars="200"/>
              <w:rPr>
                <w:rFonts w:hint="eastAsia" w:ascii="宋体" w:hAnsi="宋体" w:cs="宋体"/>
                <w:szCs w:val="21"/>
                <w:highlight w:val="none"/>
              </w:rPr>
            </w:pPr>
            <w:r>
              <w:rPr>
                <w:rFonts w:hint="eastAsia" w:ascii="宋体" w:hAnsi="宋体" w:cs="宋体"/>
                <w:szCs w:val="21"/>
                <w:highlight w:val="none"/>
              </w:rPr>
              <w:t>详见第四章合同条款及格式</w:t>
            </w:r>
          </w:p>
        </w:tc>
      </w:tr>
      <w:tr>
        <w:tblPrEx>
          <w:tblLayout w:type="fixed"/>
          <w:tblCellMar>
            <w:top w:w="0" w:type="dxa"/>
            <w:left w:w="0" w:type="dxa"/>
            <w:bottom w:w="0" w:type="dxa"/>
            <w:right w:w="0" w:type="dxa"/>
          </w:tblCellMar>
        </w:tblPrEx>
        <w:trPr>
          <w:jc w:val="center"/>
        </w:trPr>
        <w:tc>
          <w:tcPr>
            <w:tcW w:w="1164" w:type="dxa"/>
            <w:tcBorders>
              <w:top w:val="single" w:color="000000" w:sz="4" w:space="0"/>
              <w:left w:val="single" w:color="000000" w:sz="4" w:space="0"/>
              <w:bottom w:val="single" w:color="000000" w:sz="4" w:space="0"/>
              <w:right w:val="single" w:color="000000" w:sz="4" w:space="0"/>
            </w:tcBorders>
            <w:vAlign w:val="center"/>
          </w:tcPr>
          <w:p>
            <w:pPr>
              <w:snapToGrid w:val="0"/>
              <w:spacing w:afterLines="0"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rPr>
              <w:t>10.</w:t>
            </w:r>
            <w:r>
              <w:rPr>
                <w:rFonts w:hint="default" w:ascii="宋体" w:hAnsi="宋体" w:cs="宋体"/>
                <w:kern w:val="0"/>
                <w:szCs w:val="21"/>
                <w:highlight w:val="none"/>
                <w:lang w:val="en-US"/>
              </w:rPr>
              <w:t>5</w:t>
            </w: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17"/>
              <w:spacing w:afterLines="0" w:line="400" w:lineRule="exact"/>
              <w:jc w:val="center"/>
              <w:rPr>
                <w:rFonts w:hint="eastAsia" w:hAnsi="宋体" w:eastAsia="等线" w:cs="宋体"/>
                <w:color w:val="auto"/>
                <w:sz w:val="21"/>
                <w:szCs w:val="21"/>
                <w:highlight w:val="none"/>
                <w:lang w:eastAsia="zh-CN"/>
              </w:rPr>
            </w:pPr>
            <w:r>
              <w:rPr>
                <w:rFonts w:hint="eastAsia" w:hAnsi="宋体"/>
                <w:color w:val="auto"/>
                <w:sz w:val="21"/>
                <w:szCs w:val="21"/>
                <w:highlight w:val="none"/>
              </w:rPr>
              <w:t>其他</w:t>
            </w:r>
            <w:r>
              <w:rPr>
                <w:rFonts w:hint="default" w:hAnsi="宋体"/>
                <w:color w:val="auto"/>
                <w:sz w:val="21"/>
                <w:szCs w:val="21"/>
                <w:highlight w:val="none"/>
                <w:lang w:val="en-US"/>
              </w:rPr>
              <w:t>1</w:t>
            </w:r>
          </w:p>
        </w:tc>
        <w:tc>
          <w:tcPr>
            <w:tcW w:w="645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Lines="0"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招标人将进一步核查投标人在投标文件中提供的材料，若在评标期间发现投标人提供了虚假资料，其投标将被否决，其投标保证金不予退还；若在评标公示期间发现中标候选人在投标时提供了虚假资料，招标人将在上报监督部门批准后，取消其中标资格且其投标保证金不予退还；若在合同实施阶段发现承包人在投标时提供了虚假资料，招标人按合同相关条款处罚，给招标人造成损失的，承包人依法承担违约赔偿责任。</w:t>
            </w:r>
          </w:p>
          <w:p>
            <w:pPr>
              <w:adjustRightInd w:val="0"/>
              <w:snapToGrid w:val="0"/>
              <w:spacing w:afterLines="0"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2.在投标有效期内，投标人撤销投标文件的，其投标保证金不予退还。</w:t>
            </w:r>
          </w:p>
          <w:p>
            <w:pPr>
              <w:adjustRightInd w:val="0"/>
              <w:snapToGrid w:val="0"/>
              <w:spacing w:afterLines="0"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3.在投标有效期内，投标人无故放弃中标候选人资格的，其投标保证金不予退还，并将被列入招标人黑名单。</w:t>
            </w:r>
          </w:p>
          <w:p>
            <w:pPr>
              <w:adjustRightInd w:val="0"/>
              <w:snapToGrid w:val="0"/>
              <w:spacing w:afterLines="0"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4.中标人在收到中标通知书后，无正当理由不与招标人订立合同，在签订合同时向招标人提出附加条件，或者不按照招标文件要求提交履约保证金的，其投标保证金不予退还，并将被列入招标人黑名单。</w:t>
            </w:r>
          </w:p>
          <w:p>
            <w:pPr>
              <w:adjustRightInd w:val="0"/>
              <w:snapToGrid w:val="0"/>
              <w:spacing w:afterLines="0"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5.评标期间若发现投标人有围标、串标或以他人名义参加投标的，其投标将被否决，其投标保证金不予退还，并将被列入招标人黑名单；若在评标公示期间发现中标候选人有围标、串标或以他人名义参加投标的，招标人将在上报行政主管部门批准后，取消其中标资格且其投标保证金不予退还，并将被列入招标人黑名单；若在合同实施阶段发现承包人在投标时有围标、串标或以他人名义参加投标的，招标人按合同相关条款处罚并上报行政主管部门，给招标人造成损失的，承包人依法承担违约赔偿责任，并将被列入招标人黑名单。</w:t>
            </w:r>
          </w:p>
          <w:p>
            <w:pPr>
              <w:adjustRightInd w:val="0"/>
              <w:snapToGrid w:val="0"/>
              <w:spacing w:afterLines="0" w:line="400" w:lineRule="exact"/>
              <w:ind w:firstLine="420" w:firstLineChars="200"/>
              <w:jc w:val="left"/>
              <w:rPr>
                <w:rFonts w:hint="eastAsia" w:ascii="宋体" w:hAnsi="宋体" w:cs="宋体"/>
                <w:kern w:val="0"/>
                <w:szCs w:val="21"/>
                <w:highlight w:val="none"/>
              </w:rPr>
            </w:pPr>
            <w:r>
              <w:rPr>
                <w:rFonts w:hint="eastAsia" w:ascii="宋体" w:hAnsi="宋体" w:cs="宋体"/>
                <w:szCs w:val="21"/>
                <w:highlight w:val="none"/>
              </w:rPr>
              <w:t>注：黑名单有效期3年，被列入黑名单的单位在黑名单有效期内禁止参与招标人的项目投标。</w:t>
            </w:r>
          </w:p>
        </w:tc>
      </w:tr>
      <w:tr>
        <w:tblPrEx>
          <w:tblLayout w:type="fixed"/>
          <w:tblCellMar>
            <w:top w:w="0" w:type="dxa"/>
            <w:left w:w="0" w:type="dxa"/>
            <w:bottom w:w="0" w:type="dxa"/>
            <w:right w:w="0" w:type="dxa"/>
          </w:tblCellMar>
        </w:tblPrEx>
        <w:trPr>
          <w:jc w:val="center"/>
        </w:trPr>
        <w:tc>
          <w:tcPr>
            <w:tcW w:w="1164" w:type="dxa"/>
            <w:tcBorders>
              <w:top w:val="single" w:color="000000" w:sz="4" w:space="0"/>
              <w:left w:val="single" w:color="000000" w:sz="4" w:space="0"/>
              <w:bottom w:val="single" w:color="000000" w:sz="4" w:space="0"/>
              <w:right w:val="single" w:color="000000" w:sz="4" w:space="0"/>
            </w:tcBorders>
            <w:vAlign w:val="center"/>
          </w:tcPr>
          <w:p>
            <w:pPr>
              <w:snapToGrid w:val="0"/>
              <w:spacing w:afterLines="0"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rPr>
              <w:t>10.</w:t>
            </w:r>
            <w:r>
              <w:rPr>
                <w:rFonts w:hint="default" w:ascii="宋体" w:hAnsi="宋体" w:cs="宋体"/>
                <w:kern w:val="0"/>
                <w:szCs w:val="21"/>
                <w:highlight w:val="none"/>
                <w:lang w:val="en-US"/>
              </w:rPr>
              <w:t>6</w:t>
            </w: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17"/>
              <w:spacing w:afterLines="0" w:line="400" w:lineRule="exact"/>
              <w:jc w:val="center"/>
              <w:rPr>
                <w:rFonts w:hint="eastAsia" w:hAnsi="宋体" w:eastAsia="等线" w:cs="宋体"/>
                <w:color w:val="auto"/>
                <w:sz w:val="21"/>
                <w:szCs w:val="21"/>
                <w:highlight w:val="none"/>
                <w:lang w:eastAsia="zh-CN"/>
              </w:rPr>
            </w:pPr>
            <w:r>
              <w:rPr>
                <w:rFonts w:hint="eastAsia" w:hAnsi="宋体"/>
                <w:color w:val="auto"/>
                <w:sz w:val="21"/>
                <w:szCs w:val="21"/>
                <w:highlight w:val="none"/>
              </w:rPr>
              <w:t>其他</w:t>
            </w:r>
            <w:r>
              <w:rPr>
                <w:rFonts w:hint="default" w:hAnsi="宋体"/>
                <w:color w:val="auto"/>
                <w:sz w:val="21"/>
                <w:szCs w:val="21"/>
                <w:highlight w:val="none"/>
                <w:lang w:val="en-US"/>
              </w:rPr>
              <w:t>2</w:t>
            </w:r>
          </w:p>
        </w:tc>
        <w:tc>
          <w:tcPr>
            <w:tcW w:w="645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Lines="0" w:line="400" w:lineRule="exact"/>
              <w:ind w:firstLine="420" w:firstLineChars="200"/>
              <w:jc w:val="left"/>
              <w:rPr>
                <w:rFonts w:hint="eastAsia" w:ascii="宋体" w:hAnsi="宋体" w:cs="宋体"/>
                <w:kern w:val="0"/>
                <w:szCs w:val="21"/>
                <w:highlight w:val="none"/>
              </w:rPr>
            </w:pPr>
            <w:r>
              <w:rPr>
                <w:rFonts w:hint="eastAsia" w:ascii="宋体" w:hAnsi="宋体" w:cs="宋体"/>
                <w:szCs w:val="21"/>
                <w:highlight w:val="none"/>
              </w:rPr>
              <w:t>“投标人须知前附表”是“投标人须知”正文相应条款针对本项目的具体修改和补充，《投标人须知》正文部分与《投标人须知前附表》不一致时，以《投标人须知前附表》的规定为准；若有补遗澄清说明的，则以补遗澄清说明为准。</w:t>
            </w:r>
          </w:p>
        </w:tc>
      </w:tr>
    </w:tbl>
    <w:p>
      <w:pPr>
        <w:pStyle w:val="3"/>
        <w:adjustRightInd w:val="0"/>
        <w:snapToGrid w:val="0"/>
        <w:spacing w:before="0" w:after="0" w:line="360" w:lineRule="auto"/>
        <w:ind w:firstLine="0" w:firstLineChars="0"/>
        <w:rPr>
          <w:rFonts w:hint="eastAsia" w:ascii="宋体" w:hAnsi="宋体"/>
          <w:color w:val="auto"/>
          <w:szCs w:val="21"/>
          <w:highlight w:val="none"/>
          <w:lang w:eastAsia="zh-CN"/>
        </w:rPr>
      </w:pPr>
      <w:r>
        <w:rPr>
          <w:rFonts w:hint="eastAsia"/>
          <w:color w:val="auto"/>
          <w:highlight w:val="none"/>
          <w:lang w:eastAsia="zh-CN"/>
        </w:rPr>
        <w:br w:type="page"/>
      </w:r>
      <w:bookmarkStart w:id="22" w:name="_Toc14244"/>
      <w:bookmarkStart w:id="23" w:name="_Toc4140"/>
      <w:bookmarkStart w:id="24" w:name="_Toc2683"/>
      <w:bookmarkStart w:id="25" w:name="_Toc25686"/>
      <w:r>
        <w:rPr>
          <w:rFonts w:hint="eastAsia" w:ascii="宋体" w:hAnsi="宋体"/>
          <w:color w:val="auto"/>
          <w:szCs w:val="21"/>
          <w:highlight w:val="none"/>
          <w:lang w:eastAsia="zh-CN"/>
        </w:rPr>
        <w:t>1. 总则</w:t>
      </w:r>
      <w:bookmarkEnd w:id="22"/>
      <w:bookmarkEnd w:id="23"/>
      <w:bookmarkEnd w:id="24"/>
      <w:bookmarkEnd w:id="25"/>
    </w:p>
    <w:p>
      <w:pPr>
        <w:pStyle w:val="5"/>
        <w:adjustRightInd w:val="0"/>
        <w:snapToGrid w:val="0"/>
        <w:spacing w:before="0" w:after="0" w:line="360" w:lineRule="auto"/>
        <w:rPr>
          <w:rFonts w:hint="eastAsia" w:ascii="宋体" w:hAnsi="宋体" w:cs="宋体"/>
          <w:kern w:val="0"/>
          <w:szCs w:val="21"/>
          <w:highlight w:val="none"/>
        </w:rPr>
      </w:pPr>
      <w:bookmarkStart w:id="26" w:name="_Toc26432"/>
      <w:r>
        <w:rPr>
          <w:rFonts w:hint="eastAsia" w:ascii="宋体" w:hAnsi="宋体" w:cs="宋体"/>
          <w:kern w:val="0"/>
          <w:szCs w:val="21"/>
          <w:highlight w:val="none"/>
        </w:rPr>
        <w:t>1.1 招标项目概况</w:t>
      </w:r>
      <w:bookmarkEnd w:id="26"/>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1.1.1 根据《中华人民共和国招标投标法》、《中华人民共和国招标投标法实施条例》等有关法律、法规和规章的规定，本招标项目已具备招标条件，现对本项目进行招标。</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1.1.2 招标人：见投标人须知前附表。</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1.1.3 招标代理机构：见投标人须知前附表。</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1.1.4 招标项目名称：见投标人须知前附表。</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1.1.5 项目地点：见投标人须知前附表。</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1.1.6 项目规模：见投标人须知前附表。</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1.1.7 项目投资估算：见投标人须知前附表。</w:t>
      </w:r>
    </w:p>
    <w:p>
      <w:pPr>
        <w:pStyle w:val="5"/>
        <w:adjustRightInd w:val="0"/>
        <w:snapToGrid w:val="0"/>
        <w:spacing w:before="0" w:after="0" w:line="360" w:lineRule="auto"/>
        <w:rPr>
          <w:rFonts w:hint="eastAsia" w:ascii="宋体" w:hAnsi="宋体" w:cs="宋体"/>
          <w:kern w:val="0"/>
          <w:szCs w:val="21"/>
          <w:highlight w:val="none"/>
        </w:rPr>
      </w:pPr>
      <w:bookmarkStart w:id="27" w:name="_Toc27418"/>
      <w:r>
        <w:rPr>
          <w:rFonts w:hint="eastAsia" w:ascii="宋体" w:hAnsi="宋体" w:cs="宋体"/>
          <w:kern w:val="0"/>
          <w:szCs w:val="21"/>
          <w:highlight w:val="none"/>
        </w:rPr>
        <w:t>1.2 招标项目的资金来源和落实情况</w:t>
      </w:r>
      <w:bookmarkEnd w:id="27"/>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1.2.1 资金来源：见投标人须知前附表。</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1.2.2 资金落实情况：见投标人须知前附表。</w:t>
      </w:r>
    </w:p>
    <w:p>
      <w:pPr>
        <w:pStyle w:val="5"/>
        <w:adjustRightInd w:val="0"/>
        <w:snapToGrid w:val="0"/>
        <w:spacing w:before="0" w:after="0" w:line="360" w:lineRule="auto"/>
        <w:rPr>
          <w:rFonts w:hint="eastAsia" w:ascii="宋体" w:hAnsi="宋体" w:cs="宋体"/>
          <w:kern w:val="0"/>
          <w:szCs w:val="21"/>
          <w:highlight w:val="none"/>
        </w:rPr>
      </w:pPr>
      <w:bookmarkStart w:id="28" w:name="_Toc2556"/>
      <w:r>
        <w:rPr>
          <w:rFonts w:hint="eastAsia" w:ascii="宋体" w:hAnsi="宋体" w:cs="宋体"/>
          <w:kern w:val="0"/>
          <w:szCs w:val="21"/>
          <w:highlight w:val="none"/>
        </w:rPr>
        <w:t>1.3 招标范围、服务期限和质量标准</w:t>
      </w:r>
      <w:bookmarkEnd w:id="28"/>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1.3.1 招标范围：见投标人须知前附表。</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1.3.2 服务期限：见投标人须知前附表。</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1.3.3 质量标准：见投标人须知前附表。</w:t>
      </w:r>
    </w:p>
    <w:p>
      <w:pPr>
        <w:pStyle w:val="5"/>
        <w:adjustRightInd w:val="0"/>
        <w:snapToGrid w:val="0"/>
        <w:spacing w:before="0" w:after="0" w:line="360" w:lineRule="auto"/>
        <w:rPr>
          <w:rFonts w:hint="eastAsia" w:ascii="宋体" w:hAnsi="宋体" w:cs="宋体"/>
          <w:kern w:val="0"/>
          <w:szCs w:val="21"/>
          <w:highlight w:val="none"/>
        </w:rPr>
      </w:pPr>
      <w:bookmarkStart w:id="29" w:name="_Toc7415"/>
      <w:r>
        <w:rPr>
          <w:rFonts w:hint="eastAsia" w:ascii="宋体" w:hAnsi="宋体" w:cs="宋体"/>
          <w:kern w:val="0"/>
          <w:szCs w:val="21"/>
          <w:highlight w:val="none"/>
        </w:rPr>
        <w:t>1.4 投标人资格要求</w:t>
      </w:r>
      <w:bookmarkEnd w:id="29"/>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1.4.1 投标人应具备承担本招标项目资质条件、能力和信誉：见投标人须知前附表。</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需要提交的相关证明材料见本章第3.5款的规定。</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1.4.</w:t>
      </w:r>
      <w:r>
        <w:rPr>
          <w:rFonts w:hint="eastAsia" w:ascii="宋体" w:hAnsi="宋体" w:cs="宋体"/>
          <w:kern w:val="0"/>
          <w:szCs w:val="21"/>
          <w:highlight w:val="none"/>
          <w:lang w:val="en-US" w:eastAsia="zh-CN"/>
        </w:rPr>
        <w:t>2</w:t>
      </w:r>
      <w:r>
        <w:rPr>
          <w:rFonts w:hint="eastAsia" w:ascii="宋体" w:hAnsi="宋体" w:cs="宋体"/>
          <w:kern w:val="0"/>
          <w:szCs w:val="21"/>
          <w:highlight w:val="none"/>
        </w:rPr>
        <w:t xml:space="preserve"> 投标人不得存在下列情形之一：</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（1）为招标人不具有独立法人资格的附属机构（单位）；</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（2）与招标人存在利害关系且可能影响招标公正性；</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（3）与本招标项目的其他投标人为同一个单位负责人；</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（4）与本招标项目的其他投标人存在控股、管理关系；</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（5）为本招标项目的代建人；</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（6）为本招标项目的招标代理机构；</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（7）与本招标项目的代建人或招标代理机构同为一个法定代表人；</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（8）与本招标项目的代建人或招标代理机构存在控股或参股关系；</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（9）被依法暂停或者取消投标资格；</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（10）被责令停产停业、暂扣或者吊销许可证、暂扣或者吊销执照；</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（11）进入清算程序，或被宣告破产，或其他丧失履约能力的情形；</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（12）在最近三年内发生重大设计质量问题（以相关行业主管部门的行政处罚决定或司法机关出具的有关法律文书为准）；</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（13）被工商行政管理机关在全国企业信用信息公示系统中列入严重违法失信企业名单；</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（14）被最高人民法院在“信用中国”网站（www.creditchina.gov.cn）或各级信用信息共享平台中列入失信被执行人名单；</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（15）在近三年内投标人或其法定代表人、拟委任的项目负责人有行贿犯罪行为的（以检察机关职务犯罪预防部门出具的查询结果为准）；</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（16）法律法规或投标人须知前附表规定的其他情形。</w:t>
      </w:r>
    </w:p>
    <w:p>
      <w:pPr>
        <w:pStyle w:val="5"/>
        <w:adjustRightInd w:val="0"/>
        <w:snapToGrid w:val="0"/>
        <w:spacing w:before="0" w:after="0" w:line="360" w:lineRule="auto"/>
        <w:rPr>
          <w:rFonts w:hint="eastAsia" w:ascii="宋体" w:hAnsi="宋体" w:cs="宋体"/>
          <w:kern w:val="0"/>
          <w:szCs w:val="21"/>
          <w:highlight w:val="none"/>
        </w:rPr>
      </w:pPr>
      <w:bookmarkStart w:id="30" w:name="_Toc2124"/>
      <w:r>
        <w:rPr>
          <w:rFonts w:hint="eastAsia" w:ascii="宋体" w:hAnsi="宋体" w:cs="宋体"/>
          <w:kern w:val="0"/>
          <w:szCs w:val="21"/>
          <w:highlight w:val="none"/>
        </w:rPr>
        <w:t>1.5 费用承担</w:t>
      </w:r>
      <w:bookmarkEnd w:id="30"/>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投标人准备和参加投标活动发生的费用自理。</w:t>
      </w:r>
    </w:p>
    <w:p>
      <w:pPr>
        <w:pStyle w:val="5"/>
        <w:adjustRightInd w:val="0"/>
        <w:snapToGrid w:val="0"/>
        <w:spacing w:before="0" w:after="0" w:line="360" w:lineRule="auto"/>
        <w:rPr>
          <w:rFonts w:hint="eastAsia" w:ascii="宋体" w:hAnsi="宋体" w:cs="宋体"/>
          <w:kern w:val="0"/>
          <w:szCs w:val="21"/>
          <w:highlight w:val="none"/>
        </w:rPr>
      </w:pPr>
      <w:bookmarkStart w:id="31" w:name="_Toc16361"/>
      <w:r>
        <w:rPr>
          <w:rFonts w:hint="eastAsia" w:ascii="宋体" w:hAnsi="宋体" w:cs="宋体"/>
          <w:kern w:val="0"/>
          <w:szCs w:val="21"/>
          <w:highlight w:val="none"/>
        </w:rPr>
        <w:t>1.6 保密</w:t>
      </w:r>
      <w:bookmarkEnd w:id="31"/>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参与招标投标活动的各方应对招标文件和投标文件中的商业和技术等秘密保密，否则应承担相应的法律责任。</w:t>
      </w:r>
    </w:p>
    <w:p>
      <w:pPr>
        <w:pStyle w:val="5"/>
        <w:adjustRightInd w:val="0"/>
        <w:snapToGrid w:val="0"/>
        <w:spacing w:before="0" w:after="0" w:line="360" w:lineRule="auto"/>
        <w:rPr>
          <w:rFonts w:hint="eastAsia" w:ascii="宋体" w:hAnsi="宋体" w:cs="宋体"/>
          <w:kern w:val="0"/>
          <w:szCs w:val="21"/>
          <w:highlight w:val="none"/>
        </w:rPr>
      </w:pPr>
      <w:bookmarkStart w:id="32" w:name="_Toc14577"/>
      <w:r>
        <w:rPr>
          <w:rFonts w:hint="eastAsia" w:ascii="宋体" w:hAnsi="宋体" w:cs="宋体"/>
          <w:kern w:val="0"/>
          <w:szCs w:val="21"/>
          <w:highlight w:val="none"/>
        </w:rPr>
        <w:t>1.7 语言文字</w:t>
      </w:r>
      <w:bookmarkEnd w:id="32"/>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招标投标文件使用的语言文字为中文。专用术语使用外文的，应附有中文注释。</w:t>
      </w:r>
    </w:p>
    <w:p>
      <w:pPr>
        <w:pStyle w:val="5"/>
        <w:adjustRightInd w:val="0"/>
        <w:snapToGrid w:val="0"/>
        <w:spacing w:before="0" w:after="0" w:line="360" w:lineRule="auto"/>
        <w:rPr>
          <w:rFonts w:hint="eastAsia" w:ascii="宋体" w:hAnsi="宋体" w:cs="宋体"/>
          <w:kern w:val="0"/>
          <w:szCs w:val="21"/>
          <w:highlight w:val="none"/>
        </w:rPr>
      </w:pPr>
      <w:bookmarkStart w:id="33" w:name="_Toc2095"/>
      <w:r>
        <w:rPr>
          <w:rFonts w:hint="eastAsia" w:ascii="宋体" w:hAnsi="宋体" w:cs="宋体"/>
          <w:kern w:val="0"/>
          <w:szCs w:val="21"/>
          <w:highlight w:val="none"/>
        </w:rPr>
        <w:t>1.8 计量单位</w:t>
      </w:r>
      <w:bookmarkEnd w:id="33"/>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所有计量均采用中华人民共和国法定计量单位。</w:t>
      </w:r>
    </w:p>
    <w:p>
      <w:pPr>
        <w:pStyle w:val="5"/>
        <w:adjustRightInd w:val="0"/>
        <w:snapToGrid w:val="0"/>
        <w:spacing w:before="0" w:after="0" w:line="360" w:lineRule="auto"/>
        <w:rPr>
          <w:rFonts w:hint="eastAsia" w:ascii="宋体" w:hAnsi="宋体" w:cs="宋体"/>
          <w:kern w:val="0"/>
          <w:szCs w:val="21"/>
          <w:highlight w:val="none"/>
        </w:rPr>
      </w:pPr>
      <w:bookmarkStart w:id="34" w:name="_Toc23968"/>
      <w:r>
        <w:rPr>
          <w:rFonts w:hint="eastAsia" w:ascii="宋体" w:hAnsi="宋体" w:cs="宋体"/>
          <w:kern w:val="0"/>
          <w:szCs w:val="21"/>
          <w:highlight w:val="none"/>
        </w:rPr>
        <w:t>1.9 踏勘现场</w:t>
      </w:r>
      <w:bookmarkEnd w:id="34"/>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1.9.1 投标人须知前附表规定组织踏勘现场的，招标人按投标人须知前附表规定的时间、地点组织投标人踏勘项目现场。部分投标人未按时参加踏勘现场的，不影响踏勘现场的正常进行。</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1.9.2 投标人踏勘现场发生的费用自理。</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1.9.3 除招标人的原因外，投标人自行负责在踏勘现场中所发生的人员伤亡和财产损失。</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1.9.4 招标人在踏勘现场中介绍的工程场地和相关的周边环境情况，供投标人在编制投标文件时参考，招标人不对投标人据此作出的判断和决策负责。</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1.9.5 招标人提供的本项目的相关参考资料，并不构成合同文件的组成部分，投标人应对上述资料的解释、推论和应用负责，招标人不对投标人据此作出的判断和决策承担任何责任。</w:t>
      </w:r>
    </w:p>
    <w:p>
      <w:pPr>
        <w:pStyle w:val="5"/>
        <w:adjustRightInd w:val="0"/>
        <w:snapToGrid w:val="0"/>
        <w:spacing w:before="0" w:after="0" w:line="360" w:lineRule="auto"/>
        <w:rPr>
          <w:rFonts w:hint="eastAsia" w:ascii="宋体" w:hAnsi="宋体" w:cs="宋体"/>
          <w:kern w:val="0"/>
          <w:szCs w:val="21"/>
          <w:highlight w:val="none"/>
        </w:rPr>
      </w:pPr>
      <w:bookmarkStart w:id="35" w:name="_Toc32059"/>
      <w:r>
        <w:rPr>
          <w:rFonts w:hint="eastAsia" w:ascii="宋体" w:hAnsi="宋体" w:cs="宋体"/>
          <w:kern w:val="0"/>
          <w:szCs w:val="21"/>
          <w:highlight w:val="none"/>
        </w:rPr>
        <w:t>1.10 投标预备会</w:t>
      </w:r>
      <w:bookmarkEnd w:id="35"/>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1.10.1 投标人须知前附表规定召开投标预备会的，招标人按投标人须知前附表规定的时间和地点召开投标预备会，澄清投标人提出的问题。</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 xml:space="preserve">1.10.2 </w:t>
      </w:r>
      <w:r>
        <w:rPr>
          <w:rFonts w:hint="eastAsia" w:ascii="宋体" w:hAnsi="宋体" w:cs="宋体"/>
          <w:snapToGrid w:val="0"/>
          <w:kern w:val="0"/>
          <w:szCs w:val="21"/>
          <w:highlight w:val="none"/>
        </w:rPr>
        <w:t xml:space="preserve"> 投标人应在投标人须知前附表规定的时间前，以书面形式将提出的问题送达招标人，以便招标人澄清</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 xml:space="preserve">1.10.3 </w:t>
      </w:r>
      <w:r>
        <w:rPr>
          <w:rFonts w:hint="eastAsia" w:ascii="宋体" w:hAnsi="宋体" w:cs="宋体"/>
          <w:snapToGrid w:val="0"/>
          <w:kern w:val="0"/>
          <w:szCs w:val="21"/>
          <w:highlight w:val="none"/>
        </w:rPr>
        <w:t>招标人在投标人须知前附表规定的时间内，将对投标人所提的问题进行澄清。该澄清内容为招标文件的组成部分。</w:t>
      </w:r>
    </w:p>
    <w:p>
      <w:pPr>
        <w:pStyle w:val="5"/>
        <w:adjustRightInd w:val="0"/>
        <w:snapToGrid w:val="0"/>
        <w:spacing w:before="0" w:after="0" w:line="360" w:lineRule="auto"/>
        <w:rPr>
          <w:rFonts w:hint="eastAsia" w:ascii="宋体" w:hAnsi="宋体" w:cs="宋体"/>
          <w:kern w:val="0"/>
          <w:szCs w:val="21"/>
          <w:highlight w:val="none"/>
        </w:rPr>
      </w:pPr>
      <w:bookmarkStart w:id="36" w:name="_Toc16980"/>
      <w:r>
        <w:rPr>
          <w:rFonts w:hint="eastAsia" w:ascii="宋体" w:hAnsi="宋体" w:cs="宋体"/>
          <w:kern w:val="0"/>
          <w:szCs w:val="21"/>
          <w:highlight w:val="none"/>
        </w:rPr>
        <w:t>1.11 分包</w:t>
      </w:r>
      <w:bookmarkEnd w:id="36"/>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1.11.1 投标人拟在中标后将中标项目的非主体、非关键性服务工作进行分包的，应符合投标人须知前附表规定的分包内容、分包金额和资质要求等限制性条件，除投标人须知前附表规定的非主体、非关键性服务工作外，其他工作不得分包。</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1.11.2 中标人不得向他人转让中标项目，接受分包的人不得再次分包。中标人应当就分包项目向招标人负责，接受分包的人就分包项目承担连带责任。</w:t>
      </w:r>
    </w:p>
    <w:p>
      <w:pPr>
        <w:pStyle w:val="5"/>
        <w:adjustRightInd w:val="0"/>
        <w:snapToGrid w:val="0"/>
        <w:spacing w:before="0" w:after="0" w:line="360" w:lineRule="auto"/>
        <w:rPr>
          <w:rFonts w:hint="eastAsia" w:ascii="宋体" w:hAnsi="宋体" w:cs="宋体"/>
          <w:kern w:val="0"/>
          <w:szCs w:val="21"/>
          <w:highlight w:val="none"/>
        </w:rPr>
      </w:pPr>
      <w:bookmarkStart w:id="37" w:name="_Toc15424"/>
      <w:r>
        <w:rPr>
          <w:rFonts w:hint="eastAsia" w:ascii="宋体" w:hAnsi="宋体" w:cs="宋体"/>
          <w:kern w:val="0"/>
          <w:szCs w:val="21"/>
          <w:highlight w:val="none"/>
        </w:rPr>
        <w:t>1.12 响应和偏差</w:t>
      </w:r>
      <w:bookmarkEnd w:id="37"/>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1.12.1 投标文件应当对招标文件的实质性要求和条件作出满足性或更有利于招标人的响应，实质性要求和条件见投标人须知前附表。</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1.12.2 投标人应根据招标文件的要求提供投标服务方案等内容以对招标文件作出响应。</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1.12.3 投标人须知前附表允许投标文件偏离招标文件某些要求的，偏差应当符合招标文件规定的偏差范围和幅度。</w:t>
      </w:r>
    </w:p>
    <w:p>
      <w:pPr>
        <w:pStyle w:val="18"/>
        <w:adjustRightInd w:val="0"/>
        <w:snapToGrid w:val="0"/>
        <w:spacing w:before="0" w:beforeLines="0" w:after="0" w:afterLines="0"/>
        <w:rPr>
          <w:rFonts w:hint="eastAsia" w:ascii="宋体" w:hAnsi="宋体" w:cs="宋体"/>
          <w:kern w:val="0"/>
          <w:sz w:val="21"/>
          <w:szCs w:val="21"/>
          <w:highlight w:val="none"/>
        </w:rPr>
      </w:pPr>
      <w:bookmarkStart w:id="38" w:name="_Toc6593"/>
      <w:bookmarkStart w:id="39" w:name="_Toc5128"/>
      <w:bookmarkStart w:id="40" w:name="_Toc28114"/>
      <w:bookmarkStart w:id="41" w:name="_Toc5309"/>
      <w:r>
        <w:rPr>
          <w:rFonts w:hint="eastAsia" w:ascii="宋体" w:hAnsi="宋体" w:cs="宋体"/>
          <w:kern w:val="0"/>
          <w:sz w:val="21"/>
          <w:szCs w:val="21"/>
          <w:highlight w:val="none"/>
        </w:rPr>
        <w:t>2. 招标文件</w:t>
      </w:r>
      <w:bookmarkEnd w:id="38"/>
      <w:bookmarkEnd w:id="39"/>
      <w:bookmarkEnd w:id="40"/>
      <w:bookmarkEnd w:id="41"/>
    </w:p>
    <w:p>
      <w:pPr>
        <w:pStyle w:val="5"/>
        <w:adjustRightInd w:val="0"/>
        <w:snapToGrid w:val="0"/>
        <w:spacing w:before="0" w:after="0" w:line="360" w:lineRule="auto"/>
        <w:rPr>
          <w:rFonts w:hint="eastAsia" w:ascii="宋体" w:hAnsi="宋体" w:cs="宋体"/>
          <w:kern w:val="0"/>
          <w:szCs w:val="21"/>
          <w:highlight w:val="none"/>
        </w:rPr>
      </w:pPr>
      <w:bookmarkStart w:id="42" w:name="_Toc6265"/>
      <w:r>
        <w:rPr>
          <w:rFonts w:hint="eastAsia" w:ascii="宋体" w:hAnsi="宋体" w:cs="宋体"/>
          <w:kern w:val="0"/>
          <w:szCs w:val="21"/>
          <w:highlight w:val="none"/>
        </w:rPr>
        <w:t>2.1 招标文件的组成</w:t>
      </w:r>
      <w:bookmarkEnd w:id="42"/>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本招标文件包括：</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（1）招标公告（或投标邀请书）；</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（2）投标人须知；</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（3）评标办法；</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（4）合同条款及格式；</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（5）技术标准和要求；</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（6）投标文件格式；</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（7）投标人须知前附表规定的其他资料。</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根据本章第1.10款、第2.2款和第2.3款对招标文件所作的澄清、修改，构成招标文件的组成部分。</w:t>
      </w:r>
    </w:p>
    <w:p>
      <w:pPr>
        <w:pStyle w:val="5"/>
        <w:adjustRightInd w:val="0"/>
        <w:snapToGrid w:val="0"/>
        <w:spacing w:before="0" w:after="0" w:line="360" w:lineRule="auto"/>
        <w:rPr>
          <w:rFonts w:hint="eastAsia" w:ascii="宋体" w:hAnsi="宋体" w:cs="宋体"/>
          <w:kern w:val="0"/>
          <w:szCs w:val="21"/>
          <w:highlight w:val="none"/>
        </w:rPr>
      </w:pPr>
      <w:bookmarkStart w:id="43" w:name="_Toc4726"/>
      <w:r>
        <w:rPr>
          <w:rFonts w:hint="eastAsia" w:ascii="宋体" w:hAnsi="宋体" w:cs="宋体"/>
          <w:kern w:val="0"/>
          <w:szCs w:val="21"/>
          <w:highlight w:val="none"/>
        </w:rPr>
        <w:t>2.2 招标文件的澄清</w:t>
      </w:r>
      <w:bookmarkEnd w:id="43"/>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 xml:space="preserve">2.2.1 </w:t>
      </w:r>
      <w:r>
        <w:rPr>
          <w:rFonts w:hint="eastAsia" w:ascii="宋体" w:hAnsi="宋体" w:cs="宋体"/>
          <w:snapToGrid w:val="0"/>
          <w:kern w:val="0"/>
          <w:szCs w:val="21"/>
          <w:highlight w:val="none"/>
        </w:rPr>
        <w:t>投标人应仔细阅读和检查招标文件的全部内容。如发现缺页或附件不全，应及时向招标人提出，以便补齐。如有疑问，应在投标人须知前附表规定的时间前</w:t>
      </w:r>
      <w:r>
        <w:rPr>
          <w:rFonts w:hint="eastAsia" w:ascii="宋体" w:hAnsi="宋体" w:cs="宋体"/>
          <w:kern w:val="0"/>
          <w:szCs w:val="21"/>
          <w:highlight w:val="none"/>
        </w:rPr>
        <w:t>在相应法定网站提问</w:t>
      </w:r>
      <w:r>
        <w:rPr>
          <w:rFonts w:hint="eastAsia" w:ascii="宋体" w:hAnsi="宋体" w:cs="宋体"/>
          <w:snapToGrid w:val="0"/>
          <w:kern w:val="0"/>
          <w:szCs w:val="21"/>
          <w:highlight w:val="none"/>
        </w:rPr>
        <w:t>，要求招标人对招标文件予以澄清。</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 xml:space="preserve">2.2.2 </w:t>
      </w:r>
      <w:r>
        <w:rPr>
          <w:rFonts w:hint="eastAsia" w:ascii="宋体" w:hAnsi="宋体" w:cs="宋体"/>
          <w:snapToGrid w:val="0"/>
          <w:kern w:val="0"/>
          <w:szCs w:val="21"/>
          <w:highlight w:val="none"/>
        </w:rPr>
        <w:t>招标文件的澄清将在投标人须知前附表规定的投标截止时间15天前</w:t>
      </w:r>
      <w:r>
        <w:rPr>
          <w:rFonts w:hint="eastAsia" w:ascii="宋体" w:hAnsi="宋体" w:cs="宋体"/>
          <w:kern w:val="0"/>
          <w:szCs w:val="21"/>
          <w:highlight w:val="none"/>
        </w:rPr>
        <w:t>在相应法定网站发布，</w:t>
      </w:r>
      <w:r>
        <w:rPr>
          <w:rFonts w:hint="eastAsia" w:ascii="宋体" w:hAnsi="宋体" w:cs="宋体"/>
          <w:snapToGrid w:val="0"/>
          <w:kern w:val="0"/>
          <w:szCs w:val="21"/>
          <w:highlight w:val="none"/>
        </w:rPr>
        <w:t>但不指明澄清问题的来源。如果澄清发出的时间距投标截止时间不足15天，相应延长投标截止时间。</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2.2.3 招标人对招标文件的</w:t>
      </w:r>
      <w:r>
        <w:rPr>
          <w:rFonts w:hint="eastAsia" w:ascii="宋体" w:hAnsi="宋体" w:cs="宋体"/>
          <w:snapToGrid w:val="0"/>
          <w:kern w:val="0"/>
          <w:szCs w:val="21"/>
          <w:highlight w:val="none"/>
        </w:rPr>
        <w:t>修改内容可能影响投标文件编制的，须在投标截止时间15日前发布，发布时间至投标截止时间不足15日的，须相应延后投标截止时间。</w:t>
      </w:r>
    </w:p>
    <w:p>
      <w:pPr>
        <w:autoSpaceDE w:val="0"/>
        <w:autoSpaceDN w:val="0"/>
        <w:adjustRightInd w:val="0"/>
        <w:snapToGrid w:val="0"/>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2.2.4 投标人对招标文件和澄清修改仍有异议的，可于投标截止时间10日前，以书面形式通知招标人或招标代理机构。招标人应将答复以修改的形式在相应法定网站发布。修改内容可能影响投标文件编制的，须在投标截止时间15日前发布，发布时间至投标截止时间不足15日的，须相应延后投标截止时间。</w:t>
      </w:r>
    </w:p>
    <w:p>
      <w:pPr>
        <w:pStyle w:val="5"/>
        <w:adjustRightInd w:val="0"/>
        <w:snapToGrid w:val="0"/>
        <w:spacing w:before="0" w:after="0" w:line="360" w:lineRule="auto"/>
        <w:rPr>
          <w:rFonts w:hint="eastAsia" w:ascii="宋体" w:hAnsi="宋体" w:cs="宋体"/>
          <w:kern w:val="0"/>
          <w:szCs w:val="21"/>
          <w:highlight w:val="none"/>
        </w:rPr>
      </w:pPr>
      <w:bookmarkStart w:id="44" w:name="_Toc20097"/>
      <w:r>
        <w:rPr>
          <w:rFonts w:hint="eastAsia" w:ascii="宋体" w:hAnsi="宋体" w:cs="宋体"/>
          <w:kern w:val="0"/>
          <w:szCs w:val="21"/>
          <w:highlight w:val="none"/>
        </w:rPr>
        <w:t>2.3 招标文件的修改</w:t>
      </w:r>
      <w:bookmarkEnd w:id="44"/>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snapToGrid w:val="0"/>
          <w:kern w:val="0"/>
          <w:highlight w:val="none"/>
        </w:rPr>
        <w:t>按照本章第2.2款招标文件的澄清相关内容及方式执行。</w:t>
      </w:r>
    </w:p>
    <w:p>
      <w:pPr>
        <w:pStyle w:val="3"/>
        <w:adjustRightInd w:val="0"/>
        <w:snapToGrid w:val="0"/>
        <w:spacing w:before="0" w:after="0" w:line="360" w:lineRule="auto"/>
        <w:ind w:firstLine="0" w:firstLineChars="0"/>
        <w:rPr>
          <w:rFonts w:hint="eastAsia" w:ascii="宋体" w:hAnsi="宋体"/>
          <w:color w:val="auto"/>
          <w:szCs w:val="21"/>
          <w:highlight w:val="none"/>
          <w:lang w:eastAsia="zh-CN"/>
        </w:rPr>
      </w:pPr>
      <w:bookmarkStart w:id="45" w:name="_Toc10685"/>
      <w:bookmarkStart w:id="46" w:name="_Toc16503"/>
      <w:bookmarkStart w:id="47" w:name="_Toc7306"/>
      <w:bookmarkStart w:id="48" w:name="_Toc2972"/>
      <w:r>
        <w:rPr>
          <w:rFonts w:hint="eastAsia" w:ascii="宋体" w:hAnsi="宋体"/>
          <w:color w:val="auto"/>
          <w:szCs w:val="21"/>
          <w:highlight w:val="none"/>
          <w:lang w:eastAsia="zh-CN"/>
        </w:rPr>
        <w:t>3. 投标文件</w:t>
      </w:r>
      <w:bookmarkEnd w:id="45"/>
      <w:bookmarkEnd w:id="46"/>
      <w:bookmarkEnd w:id="47"/>
      <w:bookmarkEnd w:id="48"/>
    </w:p>
    <w:p>
      <w:pPr>
        <w:pStyle w:val="5"/>
        <w:adjustRightInd w:val="0"/>
        <w:snapToGrid w:val="0"/>
        <w:spacing w:before="0" w:after="0" w:line="360" w:lineRule="auto"/>
        <w:rPr>
          <w:rFonts w:hint="eastAsia" w:ascii="宋体" w:hAnsi="宋体" w:cs="宋体"/>
          <w:kern w:val="0"/>
          <w:szCs w:val="21"/>
          <w:highlight w:val="none"/>
        </w:rPr>
      </w:pPr>
      <w:bookmarkStart w:id="49" w:name="_Toc27493"/>
      <w:r>
        <w:rPr>
          <w:rFonts w:hint="eastAsia" w:ascii="宋体" w:hAnsi="宋体" w:cs="宋体"/>
          <w:kern w:val="0"/>
          <w:szCs w:val="21"/>
          <w:highlight w:val="none"/>
        </w:rPr>
        <w:t>3.1 投标文件的组成</w:t>
      </w:r>
      <w:bookmarkEnd w:id="49"/>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3.1.1 投标文件应包括下列内容：</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见投标文件格式。</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投标人在评标过程中作出的符合法律法规和招标文件规定的澄清确认，构成投标文件的组成部分。</w:t>
      </w:r>
    </w:p>
    <w:p>
      <w:pPr>
        <w:adjustRightInd w:val="0"/>
        <w:snapToGrid w:val="0"/>
        <w:spacing w:line="360" w:lineRule="auto"/>
        <w:ind w:firstLine="420" w:firstLineChars="200"/>
        <w:jc w:val="left"/>
        <w:rPr>
          <w:rFonts w:hint="eastAsia" w:ascii="宋体" w:hAnsi="宋体" w:cs="宋体"/>
          <w:kern w:val="0"/>
          <w:highlight w:val="none"/>
        </w:rPr>
      </w:pPr>
      <w:r>
        <w:rPr>
          <w:rFonts w:hint="eastAsia" w:ascii="宋体" w:hAnsi="宋体" w:cs="宋体"/>
          <w:kern w:val="0"/>
          <w:highlight w:val="none"/>
        </w:rPr>
        <w:t>3.1.2 投标人须知前附表规定不接受联合体投标的，或投标人没有组成联合体的，投标文件应不包括联合体协议书。</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highlight w:val="none"/>
        </w:rPr>
        <w:t>3.1.3 投标人须知前附表未要求提交投标保证金的，投标文件不包括投标保证金。</w:t>
      </w:r>
    </w:p>
    <w:p>
      <w:pPr>
        <w:pStyle w:val="5"/>
        <w:adjustRightInd w:val="0"/>
        <w:snapToGrid w:val="0"/>
        <w:spacing w:before="0" w:after="0" w:line="360" w:lineRule="auto"/>
        <w:rPr>
          <w:rFonts w:hint="eastAsia" w:ascii="宋体" w:hAnsi="宋体" w:cs="宋体"/>
          <w:kern w:val="0"/>
          <w:szCs w:val="21"/>
          <w:highlight w:val="none"/>
        </w:rPr>
      </w:pPr>
      <w:bookmarkStart w:id="50" w:name="_Toc21925"/>
      <w:r>
        <w:rPr>
          <w:rFonts w:hint="eastAsia" w:ascii="宋体" w:hAnsi="宋体" w:cs="宋体"/>
          <w:kern w:val="0"/>
          <w:szCs w:val="21"/>
          <w:highlight w:val="none"/>
        </w:rPr>
        <w:t>3.2 投标报价</w:t>
      </w:r>
      <w:bookmarkEnd w:id="50"/>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3.2.1 投标报价应包括国家规定的增值税税金，除投标人须知前附表另有规定外，增值税税金按一般计税方法计算。投标人应按第六章“投标文件格式”的要求在投标函中进行报价。</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3.2.2 投标人应充分了解该项目的总体情况以及影响投标报价的其他要素。</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3.2.3 本项目的报价方式见投标人须知前附表。</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3.2.4 招标人设有最高投标限价的，投标人的投标报价不得超过最高投标限价，最高投标限价在投标人须知前附表中载明。</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3.2.5 投标报价的其他要求见投标人须知前附表。</w:t>
      </w:r>
    </w:p>
    <w:p>
      <w:pPr>
        <w:pStyle w:val="5"/>
        <w:adjustRightInd w:val="0"/>
        <w:snapToGrid w:val="0"/>
        <w:spacing w:before="0" w:after="0" w:line="360" w:lineRule="auto"/>
        <w:rPr>
          <w:rFonts w:hint="eastAsia" w:ascii="宋体" w:hAnsi="宋体" w:cs="宋体"/>
          <w:kern w:val="0"/>
          <w:szCs w:val="21"/>
          <w:highlight w:val="none"/>
        </w:rPr>
      </w:pPr>
      <w:bookmarkStart w:id="51" w:name="_Toc19806"/>
      <w:r>
        <w:rPr>
          <w:rFonts w:hint="eastAsia" w:ascii="宋体" w:hAnsi="宋体" w:cs="宋体"/>
          <w:kern w:val="0"/>
          <w:szCs w:val="21"/>
          <w:highlight w:val="none"/>
        </w:rPr>
        <w:t>3.3 投标有效期</w:t>
      </w:r>
      <w:bookmarkEnd w:id="51"/>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3.3.1 除投标人须知前附表另有规定外，投标有效期为90天。</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3.3.2 在投标有效期内，投标人撤销投标文件的，应承担招标文件和法律规定的责任。</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pStyle w:val="5"/>
        <w:adjustRightInd w:val="0"/>
        <w:snapToGrid w:val="0"/>
        <w:spacing w:before="0" w:after="0" w:line="360" w:lineRule="auto"/>
        <w:rPr>
          <w:rFonts w:hint="eastAsia" w:ascii="宋体" w:hAnsi="宋体" w:cs="宋体"/>
          <w:kern w:val="0"/>
          <w:szCs w:val="21"/>
          <w:highlight w:val="none"/>
        </w:rPr>
      </w:pPr>
      <w:bookmarkStart w:id="52" w:name="_Toc20981"/>
      <w:r>
        <w:rPr>
          <w:rFonts w:hint="eastAsia" w:ascii="宋体" w:hAnsi="宋体" w:cs="宋体"/>
          <w:kern w:val="0"/>
          <w:szCs w:val="21"/>
          <w:highlight w:val="none"/>
        </w:rPr>
        <w:t>3.4 投标保证金</w:t>
      </w:r>
      <w:bookmarkEnd w:id="52"/>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3.4.1  投标人在递交投标文件的同时，应按投标人须知前附表的规定递交投标保证金，并作为其投标文件的组成部分。</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3.4.2  投标人不按本章第 3.4.1 项要求提交投标保证金的，其投标文件作否决投标处理。</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3.4.3  投标保证金（投标保函）退还：见投标人须知前附表。</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3.4.4  有下列情形之一的，投标保证金将不予退还：</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（1）投标人在规定的投标有效期内撤销或修改其投标文件；</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（2）中标人在收到中标通知书后，无正当理由拒不与招标人签订合同，或未按招标文件规定提交履约担保；</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（3）法律法规规定的其他情形。</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3.4.5（1）投标保证金为无条件担保；</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（2）投标保证金的受益人为招标人。</w:t>
      </w:r>
    </w:p>
    <w:p>
      <w:pPr>
        <w:pStyle w:val="5"/>
        <w:adjustRightInd w:val="0"/>
        <w:snapToGrid w:val="0"/>
        <w:spacing w:before="0" w:after="0" w:line="360" w:lineRule="auto"/>
        <w:rPr>
          <w:rFonts w:hint="eastAsia" w:ascii="宋体" w:hAnsi="宋体" w:cs="宋体"/>
          <w:kern w:val="0"/>
          <w:szCs w:val="21"/>
          <w:highlight w:val="none"/>
        </w:rPr>
      </w:pPr>
      <w:bookmarkStart w:id="53" w:name="_Toc27227"/>
      <w:r>
        <w:rPr>
          <w:rFonts w:hint="eastAsia" w:ascii="宋体" w:hAnsi="宋体" w:cs="宋体"/>
          <w:kern w:val="0"/>
          <w:szCs w:val="21"/>
          <w:highlight w:val="none"/>
        </w:rPr>
        <w:t>3.5 资格审查资料</w:t>
      </w:r>
      <w:bookmarkEnd w:id="53"/>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投标人应附投标人须知前附表第1.4.1项中要求的相关证明材料。</w:t>
      </w:r>
    </w:p>
    <w:p>
      <w:pPr>
        <w:pStyle w:val="5"/>
        <w:adjustRightInd w:val="0"/>
        <w:snapToGrid w:val="0"/>
        <w:spacing w:before="0" w:after="0" w:line="360" w:lineRule="auto"/>
        <w:rPr>
          <w:rFonts w:hint="eastAsia" w:ascii="宋体" w:hAnsi="宋体" w:cs="宋体"/>
          <w:kern w:val="0"/>
          <w:szCs w:val="21"/>
          <w:highlight w:val="none"/>
        </w:rPr>
      </w:pPr>
      <w:bookmarkStart w:id="54" w:name="_Toc14774"/>
      <w:r>
        <w:rPr>
          <w:rFonts w:hint="eastAsia" w:ascii="宋体" w:hAnsi="宋体" w:cs="宋体"/>
          <w:kern w:val="0"/>
          <w:szCs w:val="21"/>
          <w:highlight w:val="none"/>
        </w:rPr>
        <w:t>3.6 备选投标方案</w:t>
      </w:r>
      <w:bookmarkEnd w:id="54"/>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3.6.1 除投标人须知前附表规定允许外，投标人不得递交备选投标方案，否则其投标将被否决。</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3.6.3 投标人提供两个或两个以上投标报价，或者在投标文件中提供一个报价，但同时提供两个或两个以上服务方案的，视为提供备选方案。</w:t>
      </w:r>
    </w:p>
    <w:p>
      <w:pPr>
        <w:pStyle w:val="5"/>
        <w:adjustRightInd w:val="0"/>
        <w:snapToGrid w:val="0"/>
        <w:spacing w:before="0" w:after="0" w:line="360" w:lineRule="auto"/>
        <w:rPr>
          <w:rFonts w:hint="eastAsia" w:ascii="宋体" w:hAnsi="宋体" w:cs="宋体"/>
          <w:kern w:val="0"/>
          <w:szCs w:val="21"/>
          <w:highlight w:val="none"/>
        </w:rPr>
      </w:pPr>
      <w:bookmarkStart w:id="55" w:name="_Toc7356"/>
      <w:r>
        <w:rPr>
          <w:rFonts w:hint="eastAsia" w:ascii="宋体" w:hAnsi="宋体" w:cs="宋体"/>
          <w:kern w:val="0"/>
          <w:szCs w:val="21"/>
          <w:highlight w:val="none"/>
        </w:rPr>
        <w:t>3.7 投标文件的编制</w:t>
      </w:r>
      <w:bookmarkEnd w:id="55"/>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3.7.1 投标文件应按第六章“投标文件格式”进行编写，如有必要，可以增加附页，作为投标文件的组成部分。</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3.7.2 投标文件应当对招标文件有关服务期限、投标有效期、技术标准和要求、招标范围等实质性内容作出响应。投标文件在满足招标文件实质性要求的基础上，可以提出比招标文件要求更有利于招标人的承诺。</w:t>
      </w:r>
    </w:p>
    <w:p>
      <w:pPr>
        <w:autoSpaceDE w:val="0"/>
        <w:autoSpaceDN w:val="0"/>
        <w:adjustRightInd w:val="0"/>
        <w:snapToGrid w:val="0"/>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3.7.3  投标文件的签名盖章要求：按本章投标人须知前附表第3.7.3项执行。</w:t>
      </w:r>
    </w:p>
    <w:p>
      <w:pPr>
        <w:autoSpaceDE w:val="0"/>
        <w:autoSpaceDN w:val="0"/>
        <w:adjustRightInd w:val="0"/>
        <w:snapToGrid w:val="0"/>
        <w:spacing w:line="360" w:lineRule="auto"/>
        <w:ind w:firstLine="420" w:firstLineChars="200"/>
        <w:jc w:val="left"/>
        <w:rPr>
          <w:rFonts w:hint="eastAsia" w:ascii="宋体" w:hAnsi="宋体" w:cs="宋体"/>
          <w:i/>
          <w:snapToGrid w:val="0"/>
          <w:kern w:val="0"/>
          <w:szCs w:val="21"/>
          <w:highlight w:val="none"/>
        </w:rPr>
      </w:pPr>
      <w:r>
        <w:rPr>
          <w:rFonts w:hint="eastAsia" w:ascii="宋体" w:hAnsi="宋体" w:cs="宋体"/>
          <w:snapToGrid w:val="0"/>
          <w:kern w:val="0"/>
          <w:szCs w:val="21"/>
          <w:highlight w:val="none"/>
        </w:rPr>
        <w:t>3.7.4  投标文件的份数：见投标人须知前附表。</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snapToGrid w:val="0"/>
          <w:kern w:val="0"/>
          <w:szCs w:val="21"/>
          <w:highlight w:val="none"/>
        </w:rPr>
        <w:t>3.7.5  投标文件的正本与副本应分别装订成册，并编制目录，具体装订要求见投标人须知前附表规定。</w:t>
      </w:r>
    </w:p>
    <w:p>
      <w:pPr>
        <w:pStyle w:val="3"/>
        <w:adjustRightInd w:val="0"/>
        <w:snapToGrid w:val="0"/>
        <w:spacing w:before="0" w:after="0" w:line="360" w:lineRule="auto"/>
        <w:ind w:firstLine="0" w:firstLineChars="0"/>
        <w:rPr>
          <w:rFonts w:hint="eastAsia" w:ascii="宋体" w:hAnsi="宋体"/>
          <w:color w:val="auto"/>
          <w:szCs w:val="21"/>
          <w:highlight w:val="none"/>
          <w:lang w:eastAsia="zh-CN"/>
        </w:rPr>
      </w:pPr>
      <w:bookmarkStart w:id="56" w:name="_Toc8772"/>
      <w:bookmarkStart w:id="57" w:name="_Toc3518"/>
      <w:bookmarkStart w:id="58" w:name="_Toc5100"/>
      <w:bookmarkStart w:id="59" w:name="_Toc21973"/>
      <w:r>
        <w:rPr>
          <w:rFonts w:hint="eastAsia" w:ascii="宋体" w:hAnsi="宋体"/>
          <w:color w:val="auto"/>
          <w:szCs w:val="21"/>
          <w:highlight w:val="none"/>
          <w:lang w:eastAsia="zh-CN"/>
        </w:rPr>
        <w:t>4. 投标</w:t>
      </w:r>
      <w:bookmarkEnd w:id="56"/>
      <w:bookmarkEnd w:id="57"/>
      <w:bookmarkEnd w:id="58"/>
      <w:bookmarkEnd w:id="59"/>
    </w:p>
    <w:p>
      <w:pPr>
        <w:pStyle w:val="5"/>
        <w:adjustRightInd w:val="0"/>
        <w:snapToGrid w:val="0"/>
        <w:spacing w:before="0" w:after="0" w:line="360" w:lineRule="auto"/>
        <w:rPr>
          <w:rFonts w:hint="eastAsia" w:ascii="宋体" w:hAnsi="宋体" w:cs="宋体"/>
          <w:kern w:val="0"/>
          <w:szCs w:val="21"/>
          <w:highlight w:val="none"/>
        </w:rPr>
      </w:pPr>
      <w:bookmarkStart w:id="60" w:name="_Toc17334"/>
      <w:r>
        <w:rPr>
          <w:rFonts w:hint="eastAsia" w:ascii="宋体" w:hAnsi="宋体" w:cs="宋体"/>
          <w:kern w:val="0"/>
          <w:szCs w:val="21"/>
          <w:highlight w:val="none"/>
        </w:rPr>
        <w:t>4.1 投标文件的密封和标记</w:t>
      </w:r>
      <w:bookmarkEnd w:id="60"/>
    </w:p>
    <w:p>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4.1.1  投标文件的密封</w:t>
      </w:r>
      <w:r>
        <w:rPr>
          <w:rFonts w:hint="eastAsia" w:ascii="宋体" w:hAnsi="宋体"/>
          <w:snapToGrid w:val="0"/>
          <w:kern w:val="0"/>
          <w:szCs w:val="21"/>
          <w:highlight w:val="none"/>
        </w:rPr>
        <w:t>：</w:t>
      </w:r>
      <w:r>
        <w:rPr>
          <w:rFonts w:ascii="宋体" w:hAnsi="宋体"/>
          <w:snapToGrid w:val="0"/>
          <w:kern w:val="0"/>
          <w:szCs w:val="21"/>
          <w:highlight w:val="none"/>
        </w:rPr>
        <w:t>见投标人须知前附表。</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ascii="宋体" w:hAnsi="宋体"/>
          <w:snapToGrid w:val="0"/>
          <w:kern w:val="0"/>
          <w:szCs w:val="21"/>
          <w:highlight w:val="none"/>
        </w:rPr>
        <w:t>4.1.2  投标文件的封套上应写明的内容</w:t>
      </w:r>
      <w:r>
        <w:rPr>
          <w:rFonts w:hint="eastAsia" w:ascii="宋体" w:hAnsi="宋体"/>
          <w:snapToGrid w:val="0"/>
          <w:kern w:val="0"/>
          <w:szCs w:val="21"/>
          <w:highlight w:val="none"/>
        </w:rPr>
        <w:t>：</w:t>
      </w:r>
      <w:r>
        <w:rPr>
          <w:rFonts w:ascii="宋体" w:hAnsi="宋体"/>
          <w:snapToGrid w:val="0"/>
          <w:kern w:val="0"/>
          <w:szCs w:val="21"/>
          <w:highlight w:val="none"/>
        </w:rPr>
        <w:t>见投标人须知前附表。</w:t>
      </w:r>
    </w:p>
    <w:p>
      <w:pPr>
        <w:pStyle w:val="5"/>
        <w:adjustRightInd w:val="0"/>
        <w:snapToGrid w:val="0"/>
        <w:spacing w:before="0" w:after="0" w:line="360" w:lineRule="auto"/>
        <w:rPr>
          <w:rFonts w:hint="eastAsia" w:ascii="宋体" w:hAnsi="宋体" w:cs="宋体"/>
          <w:kern w:val="0"/>
          <w:szCs w:val="21"/>
          <w:highlight w:val="none"/>
        </w:rPr>
      </w:pPr>
      <w:bookmarkStart w:id="61" w:name="_Toc12162"/>
      <w:r>
        <w:rPr>
          <w:rFonts w:hint="eastAsia" w:ascii="宋体" w:hAnsi="宋体" w:cs="宋体"/>
          <w:kern w:val="0"/>
          <w:szCs w:val="21"/>
          <w:highlight w:val="none"/>
        </w:rPr>
        <w:t>4.2 投标文件的递交</w:t>
      </w:r>
      <w:bookmarkEnd w:id="61"/>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4.2.1 投标人应在投标人须知前附表规定的投标截止时间前递交投标文件。</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 xml:space="preserve">4.2.1 </w:t>
      </w:r>
      <w:r>
        <w:rPr>
          <w:rFonts w:hint="eastAsia" w:ascii="宋体" w:hAnsi="宋体" w:cs="宋体"/>
          <w:snapToGrid w:val="0"/>
          <w:kern w:val="0"/>
          <w:szCs w:val="21"/>
          <w:highlight w:val="none"/>
        </w:rPr>
        <w:t>投标人应在投标人须知前附表第2.2.2项规定的投标截止时间前递交投标文件。</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4.2.2 投标人递交投标文件的地点：见投标人须知前附表。</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4.2.3 除投标人须知前附表另有规定外，投标人所递交的投标文件不予退还。</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4.2.4 招标人收到投标文件后，向投标人出具签收凭证。</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4.2.5 逾期送达的投标文件，招标人将予以拒收。</w:t>
      </w:r>
    </w:p>
    <w:p>
      <w:pPr>
        <w:pStyle w:val="5"/>
        <w:adjustRightInd w:val="0"/>
        <w:snapToGrid w:val="0"/>
        <w:spacing w:before="0" w:after="0" w:line="360" w:lineRule="auto"/>
        <w:rPr>
          <w:rFonts w:hint="eastAsia" w:ascii="宋体" w:hAnsi="宋体" w:cs="宋体"/>
          <w:kern w:val="0"/>
          <w:szCs w:val="21"/>
          <w:highlight w:val="none"/>
        </w:rPr>
      </w:pPr>
      <w:bookmarkStart w:id="62" w:name="_Toc2309"/>
      <w:r>
        <w:rPr>
          <w:rFonts w:hint="eastAsia" w:ascii="宋体" w:hAnsi="宋体" w:cs="宋体"/>
          <w:kern w:val="0"/>
          <w:szCs w:val="21"/>
          <w:highlight w:val="none"/>
        </w:rPr>
        <w:t>4.3 投标文件的修改与撤回</w:t>
      </w:r>
      <w:bookmarkEnd w:id="62"/>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 xml:space="preserve">4.3.1 </w:t>
      </w:r>
      <w:r>
        <w:rPr>
          <w:rFonts w:ascii="宋体" w:hAnsi="宋体"/>
          <w:snapToGrid w:val="0"/>
          <w:kern w:val="0"/>
          <w:szCs w:val="21"/>
          <w:highlight w:val="none"/>
        </w:rPr>
        <w:t>在投标人须知前附表第2.2.2项规定的投标截止时间前，投标人可以修改或撤回已递交的投标文件，但应以书面形式通知招标人。</w:t>
      </w:r>
    </w:p>
    <w:p>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4.3.2  投标人修改或撤回已递交投标文件的书面通知应按照本章第3.7.3项的要求</w:t>
      </w:r>
      <w:r>
        <w:rPr>
          <w:rFonts w:hint="eastAsia" w:ascii="宋体" w:hAnsi="宋体"/>
          <w:snapToGrid w:val="0"/>
          <w:kern w:val="0"/>
          <w:szCs w:val="21"/>
          <w:highlight w:val="none"/>
        </w:rPr>
        <w:t>签名</w:t>
      </w:r>
      <w:r>
        <w:rPr>
          <w:rFonts w:ascii="宋体" w:hAnsi="宋体"/>
          <w:snapToGrid w:val="0"/>
          <w:kern w:val="0"/>
          <w:szCs w:val="21"/>
          <w:highlight w:val="none"/>
        </w:rPr>
        <w:t>或盖章。招标人收到书面通知后，向投标人出具签收凭证。</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ascii="宋体" w:hAnsi="宋体"/>
          <w:snapToGrid w:val="0"/>
          <w:kern w:val="0"/>
          <w:szCs w:val="21"/>
          <w:highlight w:val="none"/>
        </w:rPr>
        <w:t>4.3.3  修改的内容为投标文件的组成部分。修改的投标文件应按照本章第3条、第4条规定进行编制、密封、标记和递交，并标明“修改”字样。</w:t>
      </w:r>
    </w:p>
    <w:p>
      <w:pPr>
        <w:pStyle w:val="3"/>
        <w:adjustRightInd w:val="0"/>
        <w:snapToGrid w:val="0"/>
        <w:spacing w:before="0" w:after="0" w:line="360" w:lineRule="auto"/>
        <w:ind w:firstLine="0" w:firstLineChars="0"/>
        <w:rPr>
          <w:rFonts w:hint="eastAsia" w:ascii="宋体" w:hAnsi="宋体"/>
          <w:color w:val="auto"/>
          <w:szCs w:val="21"/>
          <w:highlight w:val="none"/>
          <w:lang w:eastAsia="zh-CN"/>
        </w:rPr>
      </w:pPr>
      <w:bookmarkStart w:id="63" w:name="_Toc21423"/>
      <w:bookmarkStart w:id="64" w:name="_Toc7175"/>
      <w:bookmarkStart w:id="65" w:name="_Toc30353"/>
      <w:bookmarkStart w:id="66" w:name="_Toc11829"/>
      <w:r>
        <w:rPr>
          <w:rFonts w:hint="eastAsia" w:ascii="宋体" w:hAnsi="宋体"/>
          <w:color w:val="auto"/>
          <w:szCs w:val="21"/>
          <w:highlight w:val="none"/>
          <w:lang w:eastAsia="zh-CN"/>
        </w:rPr>
        <w:t>5. 开标</w:t>
      </w:r>
      <w:bookmarkEnd w:id="63"/>
      <w:bookmarkEnd w:id="64"/>
      <w:bookmarkEnd w:id="65"/>
      <w:bookmarkEnd w:id="66"/>
    </w:p>
    <w:p>
      <w:pPr>
        <w:pStyle w:val="5"/>
        <w:adjustRightInd w:val="0"/>
        <w:snapToGrid w:val="0"/>
        <w:spacing w:before="0" w:after="0" w:line="360" w:lineRule="auto"/>
        <w:rPr>
          <w:rFonts w:hint="eastAsia" w:ascii="宋体" w:hAnsi="宋体" w:cs="宋体"/>
          <w:kern w:val="0"/>
          <w:szCs w:val="21"/>
          <w:highlight w:val="none"/>
        </w:rPr>
      </w:pPr>
      <w:bookmarkStart w:id="67" w:name="_Toc20520"/>
      <w:r>
        <w:rPr>
          <w:rFonts w:hint="eastAsia" w:ascii="宋体" w:hAnsi="宋体" w:cs="宋体"/>
          <w:kern w:val="0"/>
          <w:szCs w:val="21"/>
          <w:highlight w:val="none"/>
        </w:rPr>
        <w:t>5.1 开标时间和地点</w:t>
      </w:r>
      <w:bookmarkEnd w:id="67"/>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ascii="宋体" w:hAnsi="宋体"/>
          <w:snapToGrid w:val="0"/>
          <w:kern w:val="0"/>
          <w:szCs w:val="21"/>
          <w:highlight w:val="none"/>
        </w:rPr>
        <w:t>招标人在投标人须知前附表第 2.2.2 项规定的投标截止时间（开标时间）和投标人须知前附表规定的地点公开开标，并邀请所有投标人的法定代表人或其委托代理人准时参加。</w:t>
      </w:r>
    </w:p>
    <w:p>
      <w:pPr>
        <w:pStyle w:val="5"/>
        <w:adjustRightInd w:val="0"/>
        <w:snapToGrid w:val="0"/>
        <w:spacing w:before="0" w:after="0" w:line="360" w:lineRule="auto"/>
        <w:rPr>
          <w:rFonts w:hint="eastAsia" w:ascii="宋体" w:hAnsi="宋体" w:cs="宋体"/>
          <w:kern w:val="0"/>
          <w:szCs w:val="21"/>
          <w:highlight w:val="none"/>
        </w:rPr>
      </w:pPr>
      <w:bookmarkStart w:id="68" w:name="_Toc440"/>
      <w:r>
        <w:rPr>
          <w:rFonts w:hint="eastAsia" w:ascii="宋体" w:hAnsi="宋体" w:cs="宋体"/>
          <w:kern w:val="0"/>
          <w:szCs w:val="21"/>
          <w:highlight w:val="none"/>
        </w:rPr>
        <w:t>5.2 开标程序</w:t>
      </w:r>
      <w:bookmarkEnd w:id="68"/>
    </w:p>
    <w:p>
      <w:pPr>
        <w:pStyle w:val="21"/>
        <w:snapToGrid w:val="0"/>
        <w:spacing w:line="360" w:lineRule="auto"/>
        <w:ind w:firstLine="420" w:firstLineChars="200"/>
        <w:rPr>
          <w:rFonts w:hint="default" w:eastAsia="宋体" w:cs="Times New Roman"/>
          <w:snapToGrid w:val="0"/>
          <w:color w:val="auto"/>
          <w:szCs w:val="21"/>
          <w:highlight w:val="none"/>
        </w:rPr>
      </w:pPr>
      <w:r>
        <w:rPr>
          <w:rFonts w:eastAsia="宋体"/>
          <w:snapToGrid w:val="0"/>
          <w:color w:val="auto"/>
          <w:szCs w:val="21"/>
          <w:highlight w:val="none"/>
        </w:rPr>
        <w:t>详见投标人须知前附表</w:t>
      </w:r>
      <w:r>
        <w:rPr>
          <w:rFonts w:hint="default" w:eastAsia="宋体"/>
          <w:snapToGrid w:val="0"/>
          <w:color w:val="auto"/>
          <w:szCs w:val="21"/>
          <w:highlight w:val="none"/>
        </w:rPr>
        <w:t>第</w:t>
      </w:r>
      <w:r>
        <w:rPr>
          <w:rFonts w:eastAsia="宋体"/>
          <w:snapToGrid w:val="0"/>
          <w:color w:val="auto"/>
          <w:szCs w:val="21"/>
          <w:highlight w:val="none"/>
        </w:rPr>
        <w:t>5.2</w:t>
      </w:r>
      <w:r>
        <w:rPr>
          <w:rFonts w:hint="default" w:eastAsia="宋体"/>
          <w:snapToGrid w:val="0"/>
          <w:color w:val="auto"/>
          <w:szCs w:val="21"/>
          <w:highlight w:val="none"/>
        </w:rPr>
        <w:t>款</w:t>
      </w:r>
      <w:r>
        <w:rPr>
          <w:rFonts w:eastAsia="宋体"/>
          <w:snapToGrid w:val="0"/>
          <w:color w:val="auto"/>
          <w:szCs w:val="21"/>
          <w:highlight w:val="none"/>
        </w:rPr>
        <w:t>开标程序。</w:t>
      </w:r>
    </w:p>
    <w:p>
      <w:pPr>
        <w:pStyle w:val="5"/>
        <w:adjustRightInd w:val="0"/>
        <w:snapToGrid w:val="0"/>
        <w:spacing w:before="0" w:after="0" w:line="360" w:lineRule="auto"/>
        <w:rPr>
          <w:rFonts w:hint="eastAsia" w:ascii="宋体" w:hAnsi="宋体" w:cs="宋体"/>
          <w:kern w:val="0"/>
          <w:szCs w:val="21"/>
          <w:highlight w:val="none"/>
        </w:rPr>
      </w:pPr>
      <w:bookmarkStart w:id="69" w:name="_Toc766"/>
      <w:r>
        <w:rPr>
          <w:rFonts w:hint="eastAsia" w:ascii="宋体" w:hAnsi="宋体" w:cs="宋体"/>
          <w:kern w:val="0"/>
          <w:szCs w:val="21"/>
          <w:highlight w:val="none"/>
        </w:rPr>
        <w:t>5.3 开标异议</w:t>
      </w:r>
      <w:bookmarkEnd w:id="69"/>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szCs w:val="21"/>
          <w:highlight w:val="none"/>
        </w:rPr>
        <w:t>投标人对开标有异议的，应在开标现场提出，同时应出示法定代表人身份证明或附有法定代表人身份证明的授权委托书。招标人当场作出答复，并制作记录，有异议的投标人代表、招标人代表、主持人、记录人等有关人员在记录上签名确认</w:t>
      </w:r>
      <w:r>
        <w:rPr>
          <w:rFonts w:ascii="宋体" w:hAnsi="宋体"/>
          <w:szCs w:val="21"/>
          <w:highlight w:val="none"/>
        </w:rPr>
        <w:t>。</w:t>
      </w:r>
    </w:p>
    <w:p>
      <w:pPr>
        <w:pStyle w:val="3"/>
        <w:adjustRightInd w:val="0"/>
        <w:snapToGrid w:val="0"/>
        <w:spacing w:before="0" w:after="0" w:line="360" w:lineRule="auto"/>
        <w:ind w:firstLine="0" w:firstLineChars="0"/>
        <w:rPr>
          <w:rFonts w:hint="eastAsia" w:ascii="宋体" w:hAnsi="宋体"/>
          <w:color w:val="auto"/>
          <w:szCs w:val="21"/>
          <w:highlight w:val="none"/>
          <w:lang w:eastAsia="zh-CN"/>
        </w:rPr>
      </w:pPr>
      <w:bookmarkStart w:id="70" w:name="_Toc28954"/>
      <w:bookmarkStart w:id="71" w:name="_Toc26815"/>
      <w:bookmarkStart w:id="72" w:name="_Toc21698"/>
      <w:bookmarkStart w:id="73" w:name="_Toc32141"/>
      <w:r>
        <w:rPr>
          <w:rFonts w:hint="eastAsia" w:ascii="宋体" w:hAnsi="宋体"/>
          <w:color w:val="auto"/>
          <w:szCs w:val="21"/>
          <w:highlight w:val="none"/>
          <w:lang w:eastAsia="zh-CN"/>
        </w:rPr>
        <w:t>6. 评标</w:t>
      </w:r>
      <w:bookmarkEnd w:id="70"/>
      <w:bookmarkEnd w:id="71"/>
      <w:bookmarkEnd w:id="72"/>
      <w:bookmarkEnd w:id="73"/>
    </w:p>
    <w:p>
      <w:pPr>
        <w:pStyle w:val="5"/>
        <w:adjustRightInd w:val="0"/>
        <w:snapToGrid w:val="0"/>
        <w:spacing w:before="0" w:after="0" w:line="360" w:lineRule="auto"/>
        <w:rPr>
          <w:rFonts w:hint="eastAsia" w:ascii="宋体" w:hAnsi="宋体" w:cs="宋体"/>
          <w:kern w:val="0"/>
          <w:szCs w:val="21"/>
          <w:highlight w:val="none"/>
        </w:rPr>
      </w:pPr>
      <w:bookmarkStart w:id="74" w:name="_Toc14448"/>
      <w:r>
        <w:rPr>
          <w:rFonts w:hint="eastAsia" w:ascii="宋体" w:hAnsi="宋体" w:cs="宋体"/>
          <w:kern w:val="0"/>
          <w:szCs w:val="21"/>
          <w:highlight w:val="none"/>
        </w:rPr>
        <w:t>6.1 评标委员会</w:t>
      </w:r>
      <w:bookmarkEnd w:id="74"/>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 xml:space="preserve">6.1.1 </w:t>
      </w:r>
      <w:r>
        <w:rPr>
          <w:rFonts w:ascii="宋体" w:hAnsi="宋体"/>
          <w:snapToGrid w:val="0"/>
          <w:kern w:val="0"/>
          <w:szCs w:val="21"/>
          <w:highlight w:val="none"/>
        </w:rPr>
        <w:t>评标由招标人依据法律法规和相关规范性文件组建的评标委员会负责。</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6.1.2 评标委员会成员有下列情形之一的，应当回避：</w:t>
      </w:r>
    </w:p>
    <w:p>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（1）投标人或投标人的主要负责人的近亲属；</w:t>
      </w:r>
    </w:p>
    <w:p>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（2）项目主管部门或者项目行政监督部门的人员；</w:t>
      </w:r>
    </w:p>
    <w:p>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（3）与投标人有利害关系，可能影响对投标公正评审的；</w:t>
      </w:r>
    </w:p>
    <w:p>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（4）曾因在招标、评标以及其他与招标投标有关活动中从事违法行为而受过行政处罚或刑事处罚的</w:t>
      </w:r>
      <w:r>
        <w:rPr>
          <w:rFonts w:hint="eastAsia" w:ascii="宋体" w:hAnsi="宋体"/>
          <w:snapToGrid w:val="0"/>
          <w:kern w:val="0"/>
          <w:szCs w:val="21"/>
          <w:highlight w:val="none"/>
        </w:rPr>
        <w:t>；</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snapToGrid w:val="0"/>
          <w:kern w:val="0"/>
          <w:szCs w:val="21"/>
          <w:highlight w:val="none"/>
        </w:rPr>
        <w:t>（5）法律法规规定的其他情形。</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 xml:space="preserve">6.1.3 </w:t>
      </w:r>
      <w:r>
        <w:rPr>
          <w:rFonts w:hint="eastAsia" w:ascii="宋体" w:hAnsi="宋体" w:cs="宋体"/>
          <w:szCs w:val="21"/>
          <w:highlight w:val="none"/>
        </w:rPr>
        <w:t>评标过程中，评标委员会成员有回避事由、擅离职守或者因健康等原因不能继续评标的，应当及时更换。被更换的评标委员会成员作出的评审结论无效，由更换后的评标委员会成员重新进行评审。</w:t>
      </w:r>
    </w:p>
    <w:p>
      <w:pPr>
        <w:pStyle w:val="5"/>
        <w:adjustRightInd w:val="0"/>
        <w:snapToGrid w:val="0"/>
        <w:spacing w:before="0" w:after="0" w:line="360" w:lineRule="auto"/>
        <w:rPr>
          <w:rFonts w:hint="eastAsia" w:ascii="宋体" w:hAnsi="宋体" w:cs="宋体"/>
          <w:kern w:val="0"/>
          <w:szCs w:val="21"/>
          <w:highlight w:val="none"/>
        </w:rPr>
      </w:pPr>
      <w:bookmarkStart w:id="75" w:name="_Toc19823"/>
      <w:r>
        <w:rPr>
          <w:rFonts w:hint="eastAsia" w:ascii="宋体" w:hAnsi="宋体" w:cs="宋体"/>
          <w:kern w:val="0"/>
          <w:szCs w:val="21"/>
          <w:highlight w:val="none"/>
        </w:rPr>
        <w:t>6.2 评标原则</w:t>
      </w:r>
      <w:bookmarkEnd w:id="75"/>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评标活动遵循公平、公正、科学和择优的原则。</w:t>
      </w:r>
    </w:p>
    <w:p>
      <w:pPr>
        <w:pStyle w:val="5"/>
        <w:adjustRightInd w:val="0"/>
        <w:snapToGrid w:val="0"/>
        <w:spacing w:before="0" w:after="0" w:line="360" w:lineRule="auto"/>
        <w:rPr>
          <w:rFonts w:hint="eastAsia" w:ascii="宋体" w:hAnsi="宋体" w:cs="宋体"/>
          <w:kern w:val="0"/>
          <w:szCs w:val="21"/>
          <w:highlight w:val="none"/>
        </w:rPr>
      </w:pPr>
      <w:bookmarkStart w:id="76" w:name="_Toc11632"/>
      <w:r>
        <w:rPr>
          <w:rFonts w:hint="eastAsia" w:ascii="宋体" w:hAnsi="宋体" w:cs="宋体"/>
          <w:kern w:val="0"/>
          <w:szCs w:val="21"/>
          <w:highlight w:val="none"/>
        </w:rPr>
        <w:t>6.3 评标</w:t>
      </w:r>
      <w:bookmarkEnd w:id="76"/>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6.3.1 评标委员会按照第三章“评标办法”规定的方法、评审因素、标准和程序对投标文件进行评审。第三章“评标办法”没有规定的方法、评审因素和标准，不作为评标依据。</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6.3.2 评标完成后，评标委员会应当向招标人提交书面评标报告和中标候选人名单。评标委员会推荐中标候选人的人数见投标人须知前附表。</w:t>
      </w:r>
    </w:p>
    <w:p>
      <w:pPr>
        <w:pStyle w:val="3"/>
        <w:adjustRightInd w:val="0"/>
        <w:snapToGrid w:val="0"/>
        <w:spacing w:before="0" w:after="0" w:line="360" w:lineRule="auto"/>
        <w:ind w:firstLine="0" w:firstLineChars="0"/>
        <w:rPr>
          <w:rFonts w:hint="eastAsia" w:ascii="宋体" w:hAnsi="宋体"/>
          <w:color w:val="auto"/>
          <w:szCs w:val="21"/>
          <w:highlight w:val="none"/>
          <w:lang w:eastAsia="zh-CN"/>
        </w:rPr>
      </w:pPr>
      <w:bookmarkStart w:id="77" w:name="_Toc5258"/>
      <w:bookmarkStart w:id="78" w:name="_Toc15299"/>
      <w:bookmarkStart w:id="79" w:name="_Toc4162"/>
      <w:bookmarkStart w:id="80" w:name="_Toc28389"/>
      <w:r>
        <w:rPr>
          <w:rFonts w:hint="eastAsia" w:ascii="宋体" w:hAnsi="宋体"/>
          <w:color w:val="auto"/>
          <w:szCs w:val="21"/>
          <w:highlight w:val="none"/>
          <w:lang w:eastAsia="zh-CN"/>
        </w:rPr>
        <w:t>7. 合同授予</w:t>
      </w:r>
      <w:bookmarkEnd w:id="77"/>
      <w:bookmarkEnd w:id="78"/>
      <w:bookmarkEnd w:id="79"/>
      <w:bookmarkEnd w:id="80"/>
    </w:p>
    <w:p>
      <w:pPr>
        <w:pStyle w:val="5"/>
        <w:adjustRightInd w:val="0"/>
        <w:snapToGrid w:val="0"/>
        <w:spacing w:before="0" w:after="0" w:line="360" w:lineRule="auto"/>
        <w:rPr>
          <w:rFonts w:hint="eastAsia" w:ascii="宋体" w:hAnsi="宋体" w:cs="宋体"/>
          <w:kern w:val="0"/>
          <w:szCs w:val="21"/>
          <w:highlight w:val="none"/>
        </w:rPr>
      </w:pPr>
      <w:bookmarkStart w:id="81" w:name="_Toc2761"/>
      <w:r>
        <w:rPr>
          <w:rFonts w:hint="eastAsia" w:ascii="宋体" w:hAnsi="宋体" w:cs="宋体"/>
          <w:kern w:val="0"/>
          <w:szCs w:val="21"/>
          <w:highlight w:val="none"/>
        </w:rPr>
        <w:t>7.1 中标候选人公示</w:t>
      </w:r>
      <w:bookmarkEnd w:id="81"/>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招标人在收到评标报告之日起3日内，按照投标人须知前附表规定的公示媒介和期限公示中标候选人，公示期不得少于3天。</w:t>
      </w:r>
    </w:p>
    <w:p>
      <w:pPr>
        <w:pStyle w:val="5"/>
        <w:adjustRightInd w:val="0"/>
        <w:snapToGrid w:val="0"/>
        <w:spacing w:before="0" w:after="0" w:line="360" w:lineRule="auto"/>
        <w:rPr>
          <w:rFonts w:hint="eastAsia" w:ascii="宋体" w:hAnsi="宋体" w:cs="宋体"/>
          <w:kern w:val="0"/>
          <w:szCs w:val="21"/>
          <w:highlight w:val="none"/>
        </w:rPr>
      </w:pPr>
      <w:bookmarkStart w:id="82" w:name="_Toc509617492"/>
      <w:bookmarkStart w:id="83" w:name="_Toc508283645"/>
      <w:bookmarkStart w:id="84" w:name="_Toc507668545"/>
      <w:bookmarkStart w:id="85" w:name="_Toc18499"/>
      <w:bookmarkStart w:id="86" w:name="_Toc14569"/>
      <w:bookmarkStart w:id="87" w:name="_Toc508198921"/>
      <w:r>
        <w:rPr>
          <w:rFonts w:hint="eastAsia" w:ascii="宋体" w:hAnsi="宋体" w:cs="宋体"/>
          <w:kern w:val="0"/>
          <w:szCs w:val="21"/>
          <w:highlight w:val="none"/>
        </w:rPr>
        <w:t>7.2 评标结果异议</w:t>
      </w:r>
      <w:bookmarkEnd w:id="82"/>
      <w:bookmarkEnd w:id="83"/>
      <w:bookmarkEnd w:id="84"/>
      <w:bookmarkEnd w:id="85"/>
      <w:bookmarkEnd w:id="86"/>
      <w:bookmarkEnd w:id="87"/>
    </w:p>
    <w:p>
      <w:pPr>
        <w:autoSpaceDE w:val="0"/>
        <w:autoSpaceDN w:val="0"/>
        <w:adjustRightInd w:val="0"/>
        <w:snapToGrid w:val="0"/>
        <w:spacing w:line="360" w:lineRule="auto"/>
        <w:ind w:firstLine="420" w:firstLineChars="200"/>
        <w:jc w:val="left"/>
        <w:rPr>
          <w:rFonts w:hint="eastAsia" w:ascii="宋体" w:hAnsi="宋体" w:cs="宋体"/>
          <w:snapToGrid w:val="0"/>
          <w:highlight w:val="none"/>
        </w:rPr>
      </w:pPr>
      <w:r>
        <w:rPr>
          <w:rFonts w:hint="eastAsia" w:ascii="宋体" w:hAnsi="宋体" w:cs="宋体"/>
          <w:snapToGrid w:val="0"/>
          <w:highlight w:val="none"/>
        </w:rPr>
        <w:t>7.2.1 评标结果异议提交渠道详见投标人须知前附表。</w:t>
      </w:r>
    </w:p>
    <w:p>
      <w:pPr>
        <w:autoSpaceDE w:val="0"/>
        <w:autoSpaceDN w:val="0"/>
        <w:adjustRightInd w:val="0"/>
        <w:snapToGrid w:val="0"/>
        <w:spacing w:line="360" w:lineRule="auto"/>
        <w:ind w:firstLine="420" w:firstLineChars="200"/>
        <w:jc w:val="left"/>
        <w:rPr>
          <w:rFonts w:hint="eastAsia" w:ascii="宋体" w:hAnsi="宋体" w:cs="宋体"/>
          <w:snapToGrid w:val="0"/>
          <w:highlight w:val="none"/>
        </w:rPr>
      </w:pPr>
      <w:r>
        <w:rPr>
          <w:rFonts w:hint="eastAsia" w:ascii="宋体" w:hAnsi="宋体" w:cs="宋体"/>
          <w:snapToGrid w:val="0"/>
          <w:highlight w:val="none"/>
        </w:rPr>
        <w:t>7.2.2 投标人或者其他利害关系人对评标结果有异议的，应当在中标候选人公示期间提出（以招标人收到书面异议原件之日为准）。招标人将在收到异议之日起3日内作出答复；作出答复前，将暂停招标投标活动。</w:t>
      </w:r>
    </w:p>
    <w:p>
      <w:pPr>
        <w:autoSpaceDE w:val="0"/>
        <w:autoSpaceDN w:val="0"/>
        <w:adjustRightInd w:val="0"/>
        <w:snapToGrid w:val="0"/>
        <w:spacing w:line="360" w:lineRule="auto"/>
        <w:ind w:firstLine="420" w:firstLineChars="200"/>
        <w:jc w:val="left"/>
        <w:rPr>
          <w:rFonts w:hint="eastAsia" w:ascii="宋体" w:hAnsi="宋体" w:cs="宋体"/>
          <w:snapToGrid w:val="0"/>
          <w:highlight w:val="none"/>
        </w:rPr>
      </w:pPr>
      <w:r>
        <w:rPr>
          <w:rFonts w:hint="eastAsia" w:ascii="宋体" w:hAnsi="宋体" w:cs="宋体"/>
          <w:snapToGrid w:val="0"/>
          <w:highlight w:val="none"/>
        </w:rPr>
        <w:t>7.2.3 异议提出人向招标人提起异议时，应当提交异议书。异议书应当包括下列内容：</w:t>
      </w:r>
    </w:p>
    <w:p>
      <w:pPr>
        <w:autoSpaceDE w:val="0"/>
        <w:autoSpaceDN w:val="0"/>
        <w:adjustRightInd w:val="0"/>
        <w:snapToGrid w:val="0"/>
        <w:spacing w:line="360" w:lineRule="auto"/>
        <w:ind w:firstLine="420" w:firstLineChars="200"/>
        <w:jc w:val="left"/>
        <w:rPr>
          <w:rFonts w:hint="eastAsia" w:ascii="宋体" w:hAnsi="宋体" w:cs="宋体"/>
          <w:snapToGrid w:val="0"/>
          <w:highlight w:val="none"/>
        </w:rPr>
      </w:pPr>
      <w:r>
        <w:rPr>
          <w:rFonts w:hint="eastAsia" w:ascii="宋体" w:hAnsi="宋体" w:cs="宋体"/>
          <w:snapToGrid w:val="0"/>
          <w:highlight w:val="none"/>
        </w:rPr>
        <w:t>（1）异议提出人的名称、地址及有效联系方式。</w:t>
      </w:r>
    </w:p>
    <w:p>
      <w:pPr>
        <w:autoSpaceDE w:val="0"/>
        <w:autoSpaceDN w:val="0"/>
        <w:adjustRightInd w:val="0"/>
        <w:snapToGrid w:val="0"/>
        <w:spacing w:line="360" w:lineRule="auto"/>
        <w:ind w:firstLine="420" w:firstLineChars="200"/>
        <w:jc w:val="left"/>
        <w:rPr>
          <w:rFonts w:hint="eastAsia" w:ascii="宋体" w:hAnsi="宋体" w:cs="宋体"/>
          <w:snapToGrid w:val="0"/>
          <w:highlight w:val="none"/>
        </w:rPr>
      </w:pPr>
      <w:r>
        <w:rPr>
          <w:rFonts w:hint="eastAsia" w:ascii="宋体" w:hAnsi="宋体" w:cs="宋体"/>
          <w:snapToGrid w:val="0"/>
          <w:highlight w:val="none"/>
        </w:rPr>
        <w:t>（2）异议事项的基本事实。</w:t>
      </w:r>
    </w:p>
    <w:p>
      <w:pPr>
        <w:autoSpaceDE w:val="0"/>
        <w:autoSpaceDN w:val="0"/>
        <w:adjustRightInd w:val="0"/>
        <w:snapToGrid w:val="0"/>
        <w:spacing w:line="360" w:lineRule="auto"/>
        <w:ind w:firstLine="420" w:firstLineChars="200"/>
        <w:jc w:val="left"/>
        <w:rPr>
          <w:rFonts w:hint="eastAsia" w:ascii="宋体" w:hAnsi="宋体" w:cs="宋体"/>
          <w:snapToGrid w:val="0"/>
          <w:highlight w:val="none"/>
        </w:rPr>
      </w:pPr>
      <w:r>
        <w:rPr>
          <w:rFonts w:hint="eastAsia" w:ascii="宋体" w:hAnsi="宋体" w:cs="宋体"/>
          <w:snapToGrid w:val="0"/>
          <w:highlight w:val="none"/>
        </w:rPr>
        <w:t>（3）异议请求及主张。</w:t>
      </w:r>
    </w:p>
    <w:p>
      <w:pPr>
        <w:autoSpaceDE w:val="0"/>
        <w:autoSpaceDN w:val="0"/>
        <w:adjustRightInd w:val="0"/>
        <w:snapToGrid w:val="0"/>
        <w:spacing w:line="360" w:lineRule="auto"/>
        <w:ind w:firstLine="420" w:firstLineChars="200"/>
        <w:jc w:val="left"/>
        <w:rPr>
          <w:rFonts w:hint="eastAsia" w:ascii="宋体" w:hAnsi="宋体" w:cs="宋体"/>
          <w:snapToGrid w:val="0"/>
          <w:highlight w:val="none"/>
        </w:rPr>
      </w:pPr>
      <w:r>
        <w:rPr>
          <w:rFonts w:hint="eastAsia" w:ascii="宋体" w:hAnsi="宋体" w:cs="宋体"/>
          <w:snapToGrid w:val="0"/>
          <w:highlight w:val="none"/>
        </w:rPr>
        <w:t>（4）有效线索和相关证据、证明材料。</w:t>
      </w:r>
      <w:r>
        <w:rPr>
          <w:rFonts w:hint="eastAsia" w:ascii="宋体" w:hAnsi="宋体" w:cs="宋体"/>
          <w:snapToGrid w:val="0"/>
          <w:highlight w:val="none"/>
        </w:rPr>
        <w:br w:type="textWrapping"/>
      </w:r>
      <w:r>
        <w:rPr>
          <w:rFonts w:hint="eastAsia" w:ascii="宋体" w:hAnsi="宋体" w:cs="宋体"/>
          <w:snapToGrid w:val="0"/>
          <w:highlight w:val="none"/>
        </w:rPr>
        <w:t xml:space="preserve">    异议提出人是法人的，异议函必须由其法定代表人和委托代理人签名并盖章的原件；异议提出人是其他组织或者自然人的，异议函必须由其主要负责人或者异议提出人本人签名的原件，并附有效身份证明复印件。若异议函有关材料是外文，异议提出人应当同时提供中文译本。</w:t>
      </w:r>
      <w:r>
        <w:rPr>
          <w:rFonts w:hint="eastAsia" w:ascii="宋体" w:hAnsi="宋体" w:cs="宋体"/>
          <w:snapToGrid w:val="0"/>
          <w:highlight w:val="none"/>
        </w:rPr>
        <w:br w:type="textWrapping"/>
      </w:r>
      <w:r>
        <w:rPr>
          <w:rFonts w:hint="eastAsia" w:ascii="宋体" w:hAnsi="宋体" w:cs="宋体"/>
          <w:snapToGrid w:val="0"/>
          <w:highlight w:val="none"/>
        </w:rPr>
        <w:t xml:space="preserve">    7.2.4 异议提出人对异议事项提出的请求和主张，有责任提供证据；只有自己陈述而不能提出其他相关证据的，对其请求和主张不予支持。</w:t>
      </w:r>
      <w:r>
        <w:rPr>
          <w:rFonts w:hint="eastAsia" w:ascii="宋体" w:hAnsi="宋体" w:cs="宋体"/>
          <w:snapToGrid w:val="0"/>
          <w:highlight w:val="none"/>
        </w:rPr>
        <w:br w:type="textWrapping"/>
      </w:r>
      <w:r>
        <w:rPr>
          <w:rFonts w:hint="eastAsia" w:ascii="宋体" w:hAnsi="宋体" w:cs="宋体"/>
          <w:snapToGrid w:val="0"/>
          <w:highlight w:val="none"/>
        </w:rPr>
        <w:t xml:space="preserve">    7.2.5 异议提出人不得虚假异议、恶意异议，不得以异议为名排挤竞争对手，阻碍招标活动的正常进行。若出现该情况，视为无效异议，不再受理。</w:t>
      </w:r>
      <w:r>
        <w:rPr>
          <w:rFonts w:hint="eastAsia" w:ascii="宋体" w:hAnsi="宋体" w:cs="宋体"/>
          <w:snapToGrid w:val="0"/>
          <w:highlight w:val="none"/>
        </w:rPr>
        <w:br w:type="textWrapping"/>
      </w:r>
      <w:r>
        <w:rPr>
          <w:rFonts w:hint="eastAsia" w:ascii="宋体" w:hAnsi="宋体" w:cs="宋体"/>
          <w:snapToGrid w:val="0"/>
          <w:highlight w:val="none"/>
        </w:rPr>
        <w:t xml:space="preserve">    7.2.6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napToGrid w:val="0"/>
        <w:spacing w:line="360" w:lineRule="auto"/>
        <w:ind w:firstLine="420" w:firstLineChars="200"/>
        <w:jc w:val="left"/>
        <w:rPr>
          <w:rFonts w:hint="eastAsia" w:ascii="宋体" w:hAnsi="宋体" w:cs="宋体"/>
          <w:snapToGrid w:val="0"/>
          <w:highlight w:val="none"/>
        </w:rPr>
      </w:pPr>
      <w:r>
        <w:rPr>
          <w:rFonts w:hint="eastAsia" w:ascii="宋体" w:hAnsi="宋体" w:cs="宋体"/>
          <w:snapToGrid w:val="0"/>
          <w:highlight w:val="none"/>
        </w:rPr>
        <w:t>（1）招标投标法第二十二条规定的招标投标保密信息。</w:t>
      </w:r>
    </w:p>
    <w:p>
      <w:pPr>
        <w:autoSpaceDE w:val="0"/>
        <w:autoSpaceDN w:val="0"/>
        <w:adjustRightInd w:val="0"/>
        <w:snapToGrid w:val="0"/>
        <w:spacing w:line="360" w:lineRule="auto"/>
        <w:ind w:firstLine="420" w:firstLineChars="200"/>
        <w:jc w:val="left"/>
        <w:rPr>
          <w:rFonts w:hint="eastAsia" w:ascii="宋体" w:hAnsi="宋体" w:cs="宋体"/>
          <w:snapToGrid w:val="0"/>
          <w:highlight w:val="none"/>
        </w:rPr>
      </w:pPr>
      <w:r>
        <w:rPr>
          <w:rFonts w:hint="eastAsia" w:ascii="宋体" w:hAnsi="宋体" w:cs="宋体"/>
          <w:snapToGrid w:val="0"/>
          <w:highlight w:val="none"/>
        </w:rPr>
        <w:t>（2）应当保密的投标文件（但招标人提起异议时，投标文件不作为非法证据）。</w:t>
      </w:r>
    </w:p>
    <w:p>
      <w:pPr>
        <w:autoSpaceDE w:val="0"/>
        <w:autoSpaceDN w:val="0"/>
        <w:adjustRightInd w:val="0"/>
        <w:snapToGrid w:val="0"/>
        <w:spacing w:line="360" w:lineRule="auto"/>
        <w:ind w:firstLine="420" w:firstLineChars="200"/>
        <w:jc w:val="left"/>
        <w:rPr>
          <w:rFonts w:hint="eastAsia" w:ascii="宋体" w:hAnsi="宋体" w:cs="宋体"/>
          <w:snapToGrid w:val="0"/>
          <w:highlight w:val="none"/>
        </w:rPr>
      </w:pPr>
      <w:r>
        <w:rPr>
          <w:rFonts w:hint="eastAsia" w:ascii="宋体" w:hAnsi="宋体" w:cs="宋体"/>
          <w:snapToGrid w:val="0"/>
          <w:highlight w:val="none"/>
        </w:rPr>
        <w:t>（3）招标投标法第四十四条规定保密的投标文件评审和比较情况、中标候选人推荐情况和评标有关的其他情况。</w:t>
      </w:r>
    </w:p>
    <w:p>
      <w:pPr>
        <w:autoSpaceDE w:val="0"/>
        <w:autoSpaceDN w:val="0"/>
        <w:adjustRightInd w:val="0"/>
        <w:snapToGrid w:val="0"/>
        <w:spacing w:line="360" w:lineRule="auto"/>
        <w:ind w:firstLine="420" w:firstLineChars="200"/>
        <w:jc w:val="left"/>
        <w:rPr>
          <w:rFonts w:hint="eastAsia" w:ascii="宋体" w:hAnsi="宋体" w:cs="宋体"/>
          <w:snapToGrid w:val="0"/>
          <w:highlight w:val="none"/>
        </w:rPr>
      </w:pPr>
      <w:r>
        <w:rPr>
          <w:rFonts w:hint="eastAsia" w:ascii="宋体" w:hAnsi="宋体" w:cs="宋体"/>
          <w:snapToGrid w:val="0"/>
          <w:highlight w:val="none"/>
        </w:rPr>
        <w:t>（4）其他依法应当保密的信息和资料。</w:t>
      </w:r>
    </w:p>
    <w:p>
      <w:pPr>
        <w:autoSpaceDE w:val="0"/>
        <w:autoSpaceDN w:val="0"/>
        <w:adjustRightInd w:val="0"/>
        <w:snapToGrid w:val="0"/>
        <w:spacing w:line="360" w:lineRule="auto"/>
        <w:ind w:firstLine="420" w:firstLineChars="200"/>
        <w:jc w:val="left"/>
        <w:rPr>
          <w:rFonts w:hint="eastAsia" w:ascii="宋体" w:hAnsi="宋体" w:cs="宋体"/>
          <w:snapToGrid w:val="0"/>
          <w:highlight w:val="none"/>
        </w:rPr>
      </w:pPr>
      <w:r>
        <w:rPr>
          <w:rFonts w:hint="eastAsia" w:ascii="宋体" w:hAnsi="宋体" w:cs="宋体"/>
          <w:snapToGrid w:val="0"/>
          <w:highlight w:val="none"/>
        </w:rPr>
        <w:t>7.2.7 有下列情形之一的异议，不予受理：</w:t>
      </w:r>
    </w:p>
    <w:p>
      <w:pPr>
        <w:autoSpaceDE w:val="0"/>
        <w:autoSpaceDN w:val="0"/>
        <w:adjustRightInd w:val="0"/>
        <w:snapToGrid w:val="0"/>
        <w:spacing w:line="360" w:lineRule="auto"/>
        <w:ind w:firstLine="420" w:firstLineChars="200"/>
        <w:jc w:val="left"/>
        <w:rPr>
          <w:rFonts w:hint="eastAsia" w:ascii="宋体" w:hAnsi="宋体" w:cs="宋体"/>
          <w:snapToGrid w:val="0"/>
          <w:highlight w:val="none"/>
        </w:rPr>
      </w:pPr>
      <w:r>
        <w:rPr>
          <w:rFonts w:hint="eastAsia" w:ascii="宋体" w:hAnsi="宋体" w:cs="宋体"/>
          <w:snapToGrid w:val="0"/>
          <w:highlight w:val="none"/>
        </w:rPr>
        <w:t>（1）异议事项不具体，且未提供有效线索、相关证据和证明材料，难以查证。</w:t>
      </w:r>
    </w:p>
    <w:p>
      <w:pPr>
        <w:autoSpaceDE w:val="0"/>
        <w:autoSpaceDN w:val="0"/>
        <w:adjustRightInd w:val="0"/>
        <w:snapToGrid w:val="0"/>
        <w:spacing w:line="360" w:lineRule="auto"/>
        <w:ind w:firstLine="420" w:firstLineChars="200"/>
        <w:jc w:val="left"/>
        <w:rPr>
          <w:rFonts w:hint="eastAsia" w:ascii="宋体" w:hAnsi="宋体" w:cs="宋体"/>
          <w:snapToGrid w:val="0"/>
          <w:highlight w:val="none"/>
        </w:rPr>
      </w:pPr>
      <w:r>
        <w:rPr>
          <w:rFonts w:hint="eastAsia" w:ascii="宋体" w:hAnsi="宋体" w:cs="宋体"/>
          <w:snapToGrid w:val="0"/>
          <w:highlight w:val="none"/>
        </w:rPr>
        <w:t>（2）未署异议提出人真实姓名、签名和有效联系方式。</w:t>
      </w:r>
    </w:p>
    <w:p>
      <w:pPr>
        <w:autoSpaceDE w:val="0"/>
        <w:autoSpaceDN w:val="0"/>
        <w:adjustRightInd w:val="0"/>
        <w:snapToGrid w:val="0"/>
        <w:spacing w:line="360" w:lineRule="auto"/>
        <w:ind w:firstLine="420" w:firstLineChars="200"/>
        <w:jc w:val="left"/>
        <w:rPr>
          <w:rFonts w:hint="eastAsia" w:ascii="宋体" w:hAnsi="宋体" w:cs="宋体"/>
          <w:snapToGrid w:val="0"/>
          <w:highlight w:val="none"/>
        </w:rPr>
      </w:pPr>
      <w:r>
        <w:rPr>
          <w:rFonts w:hint="eastAsia" w:ascii="宋体" w:hAnsi="宋体" w:cs="宋体"/>
          <w:snapToGrid w:val="0"/>
          <w:highlight w:val="none"/>
        </w:rPr>
        <w:t>（3）未经法定代表人或授权的委托代理人签名并加盖公章，或未经主要负责人或异议提出人本人签名。</w:t>
      </w:r>
    </w:p>
    <w:p>
      <w:pPr>
        <w:autoSpaceDE w:val="0"/>
        <w:autoSpaceDN w:val="0"/>
        <w:adjustRightInd w:val="0"/>
        <w:snapToGrid w:val="0"/>
        <w:spacing w:line="360" w:lineRule="auto"/>
        <w:ind w:firstLine="420" w:firstLineChars="200"/>
        <w:jc w:val="left"/>
        <w:rPr>
          <w:rFonts w:hint="eastAsia" w:ascii="宋体" w:hAnsi="宋体" w:cs="宋体"/>
          <w:snapToGrid w:val="0"/>
          <w:highlight w:val="none"/>
        </w:rPr>
      </w:pPr>
      <w:r>
        <w:rPr>
          <w:rFonts w:hint="eastAsia" w:ascii="宋体" w:hAnsi="宋体" w:cs="宋体"/>
          <w:snapToGrid w:val="0"/>
          <w:highlight w:val="none"/>
        </w:rPr>
        <w:t>（4）不在结果异议期内的。</w:t>
      </w:r>
    </w:p>
    <w:p>
      <w:pPr>
        <w:autoSpaceDE w:val="0"/>
        <w:autoSpaceDN w:val="0"/>
        <w:adjustRightInd w:val="0"/>
        <w:snapToGrid w:val="0"/>
        <w:spacing w:line="360" w:lineRule="auto"/>
        <w:ind w:firstLine="420" w:firstLineChars="200"/>
        <w:jc w:val="left"/>
        <w:rPr>
          <w:rFonts w:hint="eastAsia" w:ascii="宋体" w:hAnsi="宋体" w:cs="宋体"/>
          <w:snapToGrid w:val="0"/>
          <w:highlight w:val="none"/>
        </w:rPr>
      </w:pPr>
      <w:r>
        <w:rPr>
          <w:rFonts w:hint="eastAsia" w:ascii="宋体" w:hAnsi="宋体" w:cs="宋体"/>
          <w:snapToGrid w:val="0"/>
          <w:highlight w:val="none"/>
        </w:rPr>
        <w:t>（5）已对异议事项做出答复的。</w:t>
      </w:r>
    </w:p>
    <w:p>
      <w:pPr>
        <w:autoSpaceDE w:val="0"/>
        <w:autoSpaceDN w:val="0"/>
        <w:adjustRightInd w:val="0"/>
        <w:snapToGrid w:val="0"/>
        <w:spacing w:line="360" w:lineRule="auto"/>
        <w:ind w:firstLine="420" w:firstLineChars="200"/>
        <w:jc w:val="left"/>
        <w:rPr>
          <w:rFonts w:hint="eastAsia" w:ascii="宋体" w:hAnsi="宋体" w:cs="宋体"/>
          <w:snapToGrid w:val="0"/>
          <w:highlight w:val="none"/>
        </w:rPr>
      </w:pPr>
      <w:r>
        <w:rPr>
          <w:rFonts w:hint="eastAsia" w:ascii="宋体" w:hAnsi="宋体" w:cs="宋体"/>
          <w:snapToGrid w:val="0"/>
          <w:highlight w:val="none"/>
        </w:rPr>
        <w:t>7.2.8 经查实，异议事项不成立，可根据实际情况，向对方作出书面回复。</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snapToGrid w:val="0"/>
          <w:highlight w:val="none"/>
        </w:rPr>
        <w:t>7.2.9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5"/>
        <w:adjustRightInd w:val="0"/>
        <w:snapToGrid w:val="0"/>
        <w:spacing w:before="0" w:after="0" w:line="360" w:lineRule="auto"/>
        <w:rPr>
          <w:rFonts w:hint="eastAsia" w:ascii="宋体" w:hAnsi="宋体" w:cs="宋体"/>
          <w:kern w:val="0"/>
          <w:szCs w:val="21"/>
          <w:highlight w:val="none"/>
        </w:rPr>
      </w:pPr>
      <w:bookmarkStart w:id="88" w:name="_Toc1686"/>
      <w:r>
        <w:rPr>
          <w:rFonts w:hint="eastAsia" w:ascii="宋体" w:hAnsi="宋体" w:cs="宋体"/>
          <w:kern w:val="0"/>
          <w:szCs w:val="21"/>
          <w:highlight w:val="none"/>
        </w:rPr>
        <w:t>7.3 中标候选人履约能力审查</w:t>
      </w:r>
      <w:bookmarkEnd w:id="88"/>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中标候选人的经营、财务状况发生较大变化或存在违法行为，招标人认为可能影响其履约能力的，将在发出中标通知书前提请原评标委员会按照招标文件规定的标准和方法进行审查确认。</w:t>
      </w:r>
    </w:p>
    <w:p>
      <w:pPr>
        <w:pStyle w:val="5"/>
        <w:adjustRightInd w:val="0"/>
        <w:snapToGrid w:val="0"/>
        <w:spacing w:before="0" w:after="0" w:line="360" w:lineRule="auto"/>
        <w:rPr>
          <w:rFonts w:hint="eastAsia" w:ascii="宋体" w:hAnsi="宋体" w:cs="宋体"/>
          <w:kern w:val="0"/>
          <w:szCs w:val="21"/>
          <w:highlight w:val="none"/>
        </w:rPr>
      </w:pPr>
      <w:bookmarkStart w:id="89" w:name="_Toc10440"/>
      <w:r>
        <w:rPr>
          <w:rFonts w:hint="eastAsia" w:ascii="宋体" w:hAnsi="宋体" w:cs="宋体"/>
          <w:kern w:val="0"/>
          <w:szCs w:val="21"/>
          <w:highlight w:val="none"/>
        </w:rPr>
        <w:t>7.4 定标</w:t>
      </w:r>
      <w:bookmarkEnd w:id="89"/>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按照投标人须知前附表的规定，招标人或招标人授权的评标委员会依法确定中标人。</w:t>
      </w:r>
    </w:p>
    <w:p>
      <w:pPr>
        <w:pStyle w:val="5"/>
        <w:adjustRightInd w:val="0"/>
        <w:snapToGrid w:val="0"/>
        <w:spacing w:before="0" w:after="0" w:line="360" w:lineRule="auto"/>
        <w:rPr>
          <w:rFonts w:hint="eastAsia" w:ascii="宋体" w:hAnsi="宋体" w:cs="宋体"/>
          <w:kern w:val="0"/>
          <w:szCs w:val="21"/>
          <w:highlight w:val="none"/>
        </w:rPr>
      </w:pPr>
      <w:bookmarkStart w:id="90" w:name="_Toc9825"/>
      <w:r>
        <w:rPr>
          <w:rFonts w:hint="eastAsia" w:ascii="宋体" w:hAnsi="宋体" w:cs="宋体"/>
          <w:kern w:val="0"/>
          <w:szCs w:val="21"/>
          <w:highlight w:val="none"/>
        </w:rPr>
        <w:t>7.5 中标通知</w:t>
      </w:r>
      <w:bookmarkEnd w:id="90"/>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在本章第3.3款规定的投标有效期内，招标人以书面形式向中标人发出中标通知书，同时将中标结果通知未中标的投标人。</w:t>
      </w:r>
    </w:p>
    <w:p>
      <w:pPr>
        <w:pStyle w:val="5"/>
        <w:adjustRightInd w:val="0"/>
        <w:snapToGrid w:val="0"/>
        <w:spacing w:before="0" w:after="0" w:line="360" w:lineRule="auto"/>
        <w:rPr>
          <w:rFonts w:hint="eastAsia" w:ascii="宋体" w:hAnsi="宋体" w:cs="宋体"/>
          <w:kern w:val="0"/>
          <w:szCs w:val="21"/>
          <w:highlight w:val="none"/>
        </w:rPr>
      </w:pPr>
      <w:bookmarkStart w:id="91" w:name="_Toc19963"/>
      <w:r>
        <w:rPr>
          <w:rFonts w:hint="eastAsia" w:ascii="宋体" w:hAnsi="宋体" w:cs="宋体"/>
          <w:kern w:val="0"/>
          <w:szCs w:val="21"/>
          <w:highlight w:val="none"/>
        </w:rPr>
        <w:t>7.6 技术成果经济补偿</w:t>
      </w:r>
      <w:bookmarkEnd w:id="91"/>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lang w:eastAsia="zh-CN"/>
        </w:rPr>
        <w:t>无。</w:t>
      </w:r>
    </w:p>
    <w:p>
      <w:pPr>
        <w:pStyle w:val="5"/>
        <w:adjustRightInd w:val="0"/>
        <w:snapToGrid w:val="0"/>
        <w:spacing w:before="0" w:after="0" w:line="360" w:lineRule="auto"/>
        <w:rPr>
          <w:rFonts w:hint="eastAsia" w:ascii="宋体" w:hAnsi="宋体" w:cs="宋体"/>
          <w:kern w:val="0"/>
          <w:szCs w:val="21"/>
          <w:highlight w:val="none"/>
        </w:rPr>
      </w:pPr>
      <w:bookmarkStart w:id="92" w:name="_Toc20271"/>
      <w:r>
        <w:rPr>
          <w:rFonts w:hint="eastAsia" w:ascii="宋体" w:hAnsi="宋体" w:cs="宋体"/>
          <w:kern w:val="0"/>
          <w:szCs w:val="21"/>
          <w:highlight w:val="none"/>
        </w:rPr>
        <w:t>7.7 履约保证金</w:t>
      </w:r>
      <w:bookmarkEnd w:id="92"/>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 xml:space="preserve">7.7.1 </w:t>
      </w:r>
      <w:r>
        <w:rPr>
          <w:rFonts w:ascii="宋体" w:hAnsi="宋体"/>
          <w:snapToGrid w:val="0"/>
          <w:kern w:val="0"/>
          <w:szCs w:val="21"/>
          <w:highlight w:val="none"/>
        </w:rPr>
        <w:t>在签订合同前，中标人应按投标人须知前附表规定的金额、担保形式和招标文件第四章“合同条款及格式”规定的履约担保格式向招标人提交履约担保。</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 xml:space="preserve">7.7.2 </w:t>
      </w:r>
      <w:r>
        <w:rPr>
          <w:rFonts w:ascii="宋体" w:hAnsi="宋体"/>
          <w:snapToGrid w:val="0"/>
          <w:kern w:val="0"/>
          <w:szCs w:val="21"/>
          <w:highlight w:val="none"/>
        </w:rPr>
        <w:t>中标人不能按本章第 7.</w:t>
      </w:r>
      <w:r>
        <w:rPr>
          <w:rFonts w:hint="eastAsia" w:ascii="宋体" w:hAnsi="宋体"/>
          <w:snapToGrid w:val="0"/>
          <w:kern w:val="0"/>
          <w:szCs w:val="21"/>
          <w:highlight w:val="none"/>
        </w:rPr>
        <w:t>7</w:t>
      </w:r>
      <w:r>
        <w:rPr>
          <w:rFonts w:ascii="宋体" w:hAnsi="宋体"/>
          <w:snapToGrid w:val="0"/>
          <w:kern w:val="0"/>
          <w:szCs w:val="21"/>
          <w:highlight w:val="none"/>
        </w:rPr>
        <w:t>.1 项要求提交履约担保的，视为放弃中标，其投标保证金不予退还，给招标人造成的损失超过投标保证金数额的，中标人还应当对超过部分予以赔偿。</w:t>
      </w:r>
    </w:p>
    <w:p>
      <w:pPr>
        <w:pStyle w:val="5"/>
        <w:adjustRightInd w:val="0"/>
        <w:snapToGrid w:val="0"/>
        <w:spacing w:before="0" w:after="0" w:line="360" w:lineRule="auto"/>
        <w:rPr>
          <w:rFonts w:hint="eastAsia" w:ascii="宋体" w:hAnsi="宋体" w:cs="宋体"/>
          <w:kern w:val="0"/>
          <w:szCs w:val="21"/>
          <w:highlight w:val="none"/>
        </w:rPr>
      </w:pPr>
      <w:bookmarkStart w:id="93" w:name="_Toc6139"/>
      <w:r>
        <w:rPr>
          <w:rFonts w:hint="eastAsia" w:ascii="宋体" w:hAnsi="宋体" w:cs="宋体"/>
          <w:kern w:val="0"/>
          <w:szCs w:val="21"/>
          <w:highlight w:val="none"/>
        </w:rPr>
        <w:t>7.8 签订合同</w:t>
      </w:r>
      <w:bookmarkEnd w:id="93"/>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7.8.1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7.8.2 发出中标通知书后，招标人无正当理由拒签合同，或者在签订合同时向中标人提出附加条件的，招标人向中标人退还投标保证金；给中标人造成损失的，还应当赔偿损失。</w:t>
      </w:r>
    </w:p>
    <w:p>
      <w:pPr>
        <w:pStyle w:val="3"/>
        <w:adjustRightInd w:val="0"/>
        <w:snapToGrid w:val="0"/>
        <w:spacing w:before="0" w:after="0" w:line="360" w:lineRule="auto"/>
        <w:ind w:firstLine="0" w:firstLineChars="0"/>
        <w:rPr>
          <w:rFonts w:hint="eastAsia" w:ascii="宋体" w:hAnsi="宋体"/>
          <w:color w:val="auto"/>
          <w:szCs w:val="21"/>
          <w:highlight w:val="none"/>
          <w:lang w:eastAsia="zh-CN"/>
        </w:rPr>
      </w:pPr>
      <w:bookmarkStart w:id="94" w:name="_Toc31500"/>
      <w:bookmarkStart w:id="95" w:name="_Toc25148"/>
      <w:bookmarkStart w:id="96" w:name="_Toc5875"/>
      <w:bookmarkStart w:id="97" w:name="_Toc2877"/>
      <w:bookmarkStart w:id="98" w:name="_Toc15062"/>
      <w:r>
        <w:rPr>
          <w:rFonts w:hint="eastAsia" w:ascii="宋体" w:hAnsi="宋体"/>
          <w:color w:val="auto"/>
          <w:szCs w:val="21"/>
          <w:highlight w:val="none"/>
          <w:lang w:eastAsia="zh-CN"/>
        </w:rPr>
        <w:t>8. 重新招标和不再招标</w:t>
      </w:r>
      <w:bookmarkEnd w:id="94"/>
      <w:bookmarkEnd w:id="95"/>
      <w:bookmarkEnd w:id="96"/>
      <w:bookmarkEnd w:id="97"/>
    </w:p>
    <w:p>
      <w:pPr>
        <w:pStyle w:val="5"/>
        <w:adjustRightInd w:val="0"/>
        <w:snapToGrid w:val="0"/>
        <w:spacing w:before="0" w:after="0" w:line="360" w:lineRule="auto"/>
        <w:rPr>
          <w:rFonts w:hint="eastAsia" w:ascii="宋体" w:hAnsi="宋体" w:cs="宋体"/>
          <w:kern w:val="0"/>
          <w:szCs w:val="21"/>
          <w:highlight w:val="none"/>
        </w:rPr>
      </w:pPr>
      <w:bookmarkStart w:id="99" w:name="_Toc29033"/>
      <w:r>
        <w:rPr>
          <w:rFonts w:hint="eastAsia" w:ascii="宋体" w:hAnsi="宋体" w:cs="宋体"/>
          <w:kern w:val="0"/>
          <w:szCs w:val="21"/>
          <w:highlight w:val="none"/>
        </w:rPr>
        <w:t>8.1  重新招标的情形</w:t>
      </w:r>
      <w:bookmarkEnd w:id="99"/>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有下列情形之一的，招标人将重新招标：</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（1）投标截止时间止，投标人少于 3 个的；</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（2）经评标委员会评审后否决所有投标的；</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3）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（4）法律法规规定的其他情形。</w:t>
      </w:r>
    </w:p>
    <w:p>
      <w:pPr>
        <w:pStyle w:val="5"/>
        <w:adjustRightInd w:val="0"/>
        <w:snapToGrid w:val="0"/>
        <w:spacing w:before="0" w:after="0" w:line="360" w:lineRule="auto"/>
        <w:rPr>
          <w:rFonts w:hint="eastAsia" w:ascii="宋体" w:hAnsi="宋体" w:cs="宋体"/>
          <w:kern w:val="0"/>
          <w:szCs w:val="21"/>
          <w:highlight w:val="none"/>
        </w:rPr>
      </w:pPr>
      <w:bookmarkStart w:id="100" w:name="_Toc26578"/>
      <w:r>
        <w:rPr>
          <w:rFonts w:hint="eastAsia" w:ascii="宋体" w:hAnsi="宋体" w:cs="宋体"/>
          <w:kern w:val="0"/>
          <w:szCs w:val="21"/>
          <w:highlight w:val="none"/>
        </w:rPr>
        <w:t>8.2  重新招标和不再招标</w:t>
      </w:r>
      <w:bookmarkEnd w:id="100"/>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p>
    <w:p>
      <w:pPr>
        <w:pStyle w:val="3"/>
        <w:adjustRightInd w:val="0"/>
        <w:snapToGrid w:val="0"/>
        <w:spacing w:before="0" w:after="0" w:line="360" w:lineRule="auto"/>
        <w:ind w:firstLine="0" w:firstLineChars="0"/>
        <w:rPr>
          <w:rFonts w:hint="eastAsia" w:ascii="宋体" w:hAnsi="宋体"/>
          <w:color w:val="auto"/>
          <w:szCs w:val="21"/>
          <w:highlight w:val="none"/>
          <w:lang w:eastAsia="zh-CN"/>
        </w:rPr>
      </w:pPr>
      <w:bookmarkStart w:id="101" w:name="_Toc1499"/>
      <w:bookmarkStart w:id="102" w:name="_Toc2767"/>
      <w:bookmarkStart w:id="103" w:name="_Toc3978"/>
      <w:r>
        <w:rPr>
          <w:rFonts w:hint="eastAsia" w:ascii="宋体" w:hAnsi="宋体"/>
          <w:color w:val="auto"/>
          <w:szCs w:val="21"/>
          <w:highlight w:val="none"/>
          <w:lang w:eastAsia="zh-CN"/>
        </w:rPr>
        <w:t>9. 纪律和监督</w:t>
      </w:r>
      <w:bookmarkEnd w:id="98"/>
      <w:bookmarkEnd w:id="101"/>
      <w:bookmarkEnd w:id="102"/>
      <w:bookmarkEnd w:id="103"/>
    </w:p>
    <w:p>
      <w:pPr>
        <w:pStyle w:val="5"/>
        <w:adjustRightInd w:val="0"/>
        <w:snapToGrid w:val="0"/>
        <w:spacing w:before="0" w:after="0" w:line="360" w:lineRule="auto"/>
        <w:rPr>
          <w:rFonts w:hint="eastAsia" w:ascii="宋体" w:hAnsi="宋体" w:cs="宋体"/>
          <w:kern w:val="0"/>
          <w:szCs w:val="21"/>
          <w:highlight w:val="none"/>
        </w:rPr>
      </w:pPr>
      <w:bookmarkStart w:id="104" w:name="_Toc28986"/>
      <w:r>
        <w:rPr>
          <w:rFonts w:hint="eastAsia" w:ascii="宋体" w:hAnsi="宋体" w:cs="宋体"/>
          <w:kern w:val="0"/>
          <w:szCs w:val="21"/>
          <w:highlight w:val="none"/>
        </w:rPr>
        <w:t>9.1 对招标人的纪律要求</w:t>
      </w:r>
      <w:bookmarkEnd w:id="104"/>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招标人不得泄露招标投标活动中应当保密的情况和资料，不得与投标人串通损害国家利益、社会公共利益或者他人合法权益。</w:t>
      </w:r>
    </w:p>
    <w:p>
      <w:pPr>
        <w:pStyle w:val="5"/>
        <w:adjustRightInd w:val="0"/>
        <w:snapToGrid w:val="0"/>
        <w:spacing w:before="0" w:after="0" w:line="360" w:lineRule="auto"/>
        <w:rPr>
          <w:rFonts w:hint="eastAsia" w:ascii="宋体" w:hAnsi="宋体" w:cs="宋体"/>
          <w:kern w:val="0"/>
          <w:szCs w:val="21"/>
          <w:highlight w:val="none"/>
        </w:rPr>
      </w:pPr>
      <w:bookmarkStart w:id="105" w:name="_Toc5266"/>
      <w:r>
        <w:rPr>
          <w:rFonts w:hint="eastAsia" w:ascii="宋体" w:hAnsi="宋体" w:cs="宋体"/>
          <w:kern w:val="0"/>
          <w:szCs w:val="21"/>
          <w:highlight w:val="none"/>
        </w:rPr>
        <w:t>9.2 对投标人的纪律要求</w:t>
      </w:r>
      <w:bookmarkEnd w:id="105"/>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adjustRightInd w:val="0"/>
        <w:snapToGrid w:val="0"/>
        <w:spacing w:before="0" w:after="0" w:line="360" w:lineRule="auto"/>
        <w:rPr>
          <w:rFonts w:hint="eastAsia" w:ascii="宋体" w:hAnsi="宋体" w:cs="宋体"/>
          <w:kern w:val="0"/>
          <w:szCs w:val="21"/>
          <w:highlight w:val="none"/>
        </w:rPr>
      </w:pPr>
      <w:bookmarkStart w:id="106" w:name="_Toc6274"/>
      <w:r>
        <w:rPr>
          <w:rFonts w:hint="eastAsia" w:ascii="宋体" w:hAnsi="宋体" w:cs="宋体"/>
          <w:kern w:val="0"/>
          <w:szCs w:val="21"/>
          <w:highlight w:val="none"/>
        </w:rPr>
        <w:t>9.3 对评标委员会成员的纪律要求</w:t>
      </w:r>
      <w:bookmarkEnd w:id="106"/>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5"/>
        <w:adjustRightInd w:val="0"/>
        <w:snapToGrid w:val="0"/>
        <w:spacing w:before="0" w:after="0" w:line="360" w:lineRule="auto"/>
        <w:rPr>
          <w:rFonts w:hint="eastAsia" w:ascii="宋体" w:hAnsi="宋体" w:cs="宋体"/>
          <w:kern w:val="0"/>
          <w:szCs w:val="21"/>
          <w:highlight w:val="none"/>
        </w:rPr>
      </w:pPr>
      <w:bookmarkStart w:id="107" w:name="_Toc11579"/>
      <w:r>
        <w:rPr>
          <w:rFonts w:hint="eastAsia" w:ascii="宋体" w:hAnsi="宋体" w:cs="宋体"/>
          <w:kern w:val="0"/>
          <w:szCs w:val="21"/>
          <w:highlight w:val="none"/>
        </w:rPr>
        <w:t>9.4 对与评标活动有关的工作人员的纪律要求</w:t>
      </w:r>
      <w:bookmarkEnd w:id="107"/>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pStyle w:val="5"/>
        <w:adjustRightInd w:val="0"/>
        <w:snapToGrid w:val="0"/>
        <w:spacing w:before="0" w:after="0" w:line="360" w:lineRule="auto"/>
        <w:rPr>
          <w:rFonts w:hint="eastAsia" w:ascii="宋体" w:hAnsi="宋体" w:cs="宋体"/>
          <w:kern w:val="0"/>
          <w:szCs w:val="21"/>
          <w:highlight w:val="none"/>
        </w:rPr>
      </w:pPr>
      <w:bookmarkStart w:id="108" w:name="_Toc3623"/>
      <w:r>
        <w:rPr>
          <w:rFonts w:hint="eastAsia" w:ascii="宋体" w:hAnsi="宋体" w:cs="宋体"/>
          <w:kern w:val="0"/>
          <w:szCs w:val="21"/>
          <w:highlight w:val="none"/>
        </w:rPr>
        <w:t>9.5 投诉</w:t>
      </w:r>
      <w:bookmarkEnd w:id="108"/>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9.5.1 投标人或者其他利害关系人认为招标投标活动不符合法律、行政法规规定的，可以自知道或者应当知道之日起10日内向有关行政监督部门投诉。投诉应当有明确的请求和必要的证明材料。</w:t>
      </w:r>
    </w:p>
    <w:p>
      <w:pPr>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9.5.2 投标人或者其他利害关系人对招标文件、开标和评标结果提出投诉的，应当按照投标人须知第2.4款、第5.3款和第7.2款的规定先向招标人提出异议。异议答复期间不计算在第9.5.1项规定的期限内。</w:t>
      </w:r>
    </w:p>
    <w:p>
      <w:pPr>
        <w:pStyle w:val="3"/>
        <w:adjustRightInd w:val="0"/>
        <w:snapToGrid w:val="0"/>
        <w:spacing w:before="0" w:after="0" w:line="360" w:lineRule="auto"/>
        <w:ind w:firstLine="0" w:firstLineChars="0"/>
        <w:rPr>
          <w:rFonts w:hint="eastAsia" w:ascii="宋体" w:hAnsi="宋体"/>
          <w:color w:val="auto"/>
          <w:szCs w:val="21"/>
          <w:highlight w:val="none"/>
          <w:lang w:eastAsia="zh-CN"/>
        </w:rPr>
      </w:pPr>
      <w:bookmarkStart w:id="109" w:name="_Toc30738"/>
      <w:bookmarkStart w:id="110" w:name="_Toc19471"/>
      <w:bookmarkStart w:id="111" w:name="_Toc29123"/>
      <w:bookmarkStart w:id="112" w:name="_Toc13457"/>
      <w:r>
        <w:rPr>
          <w:rFonts w:hint="eastAsia" w:ascii="宋体" w:hAnsi="宋体"/>
          <w:color w:val="auto"/>
          <w:szCs w:val="21"/>
          <w:highlight w:val="none"/>
          <w:lang w:eastAsia="zh-CN"/>
        </w:rPr>
        <w:t>10. 需要补充的其他内容</w:t>
      </w:r>
      <w:bookmarkEnd w:id="109"/>
      <w:bookmarkEnd w:id="110"/>
      <w:bookmarkEnd w:id="111"/>
      <w:bookmarkEnd w:id="112"/>
    </w:p>
    <w:p>
      <w:pPr>
        <w:autoSpaceDE w:val="0"/>
        <w:autoSpaceDN w:val="0"/>
        <w:adjustRightInd w:val="0"/>
        <w:snapToGrid w:val="0"/>
        <w:spacing w:line="360" w:lineRule="auto"/>
        <w:ind w:firstLine="420" w:firstLineChars="200"/>
        <w:jc w:val="left"/>
        <w:rPr>
          <w:rFonts w:hint="eastAsia" w:ascii="宋体" w:hAnsi="宋体" w:cs="宋体"/>
          <w:highlight w:val="none"/>
        </w:rPr>
      </w:pPr>
      <w:r>
        <w:rPr>
          <w:rFonts w:hint="eastAsia" w:ascii="宋体" w:hAnsi="宋体" w:cs="宋体"/>
          <w:kern w:val="0"/>
          <w:szCs w:val="21"/>
          <w:highlight w:val="none"/>
        </w:rPr>
        <w:t>需要补充的其他内容：见投标人须知前附表。</w:t>
      </w:r>
    </w:p>
    <w:p>
      <w:pPr>
        <w:pStyle w:val="16"/>
        <w:rPr>
          <w:rFonts w:hint="eastAsia"/>
          <w:highlight w:val="none"/>
        </w:rPr>
      </w:pPr>
      <w:r>
        <w:rPr>
          <w:rFonts w:hint="eastAsia"/>
          <w:highlight w:val="none"/>
        </w:rPr>
        <w:br w:type="page"/>
      </w:r>
      <w:bookmarkStart w:id="113" w:name="_Toc30338"/>
      <w:bookmarkStart w:id="114" w:name="_Toc9810"/>
      <w:bookmarkStart w:id="115" w:name="_Toc32687"/>
      <w:r>
        <w:rPr>
          <w:rFonts w:hint="eastAsia"/>
          <w:highlight w:val="none"/>
        </w:rPr>
        <w:t>第三章  评标办法（综合评估法）</w:t>
      </w:r>
      <w:bookmarkEnd w:id="113"/>
      <w:bookmarkEnd w:id="114"/>
      <w:bookmarkEnd w:id="115"/>
    </w:p>
    <w:p>
      <w:pPr>
        <w:pStyle w:val="3"/>
        <w:widowControl w:val="0"/>
        <w:adjustRightInd w:val="0"/>
        <w:snapToGrid w:val="0"/>
        <w:spacing w:before="0" w:after="0" w:line="400" w:lineRule="exact"/>
        <w:ind w:firstLine="0" w:firstLineChars="0"/>
        <w:rPr>
          <w:rFonts w:hint="eastAsia" w:ascii="宋体" w:hAnsi="宋体"/>
          <w:szCs w:val="21"/>
          <w:highlight w:val="none"/>
          <w:lang w:eastAsia="zh-CN"/>
        </w:rPr>
      </w:pPr>
      <w:bookmarkStart w:id="116" w:name="_Toc30739"/>
      <w:bookmarkStart w:id="117" w:name="_Toc459888246"/>
      <w:bookmarkStart w:id="118" w:name="_Toc27154"/>
      <w:bookmarkStart w:id="119" w:name="_Toc1039"/>
      <w:bookmarkStart w:id="120" w:name="_Toc16324"/>
      <w:bookmarkStart w:id="121" w:name="_Toc499319653"/>
      <w:bookmarkStart w:id="122" w:name="_Toc502857506"/>
      <w:bookmarkStart w:id="123" w:name="_Toc14617"/>
      <w:bookmarkStart w:id="124" w:name="_Toc502857613"/>
      <w:r>
        <w:rPr>
          <w:rFonts w:hint="eastAsia" w:ascii="宋体" w:hAnsi="宋体"/>
          <w:szCs w:val="21"/>
          <w:highlight w:val="none"/>
          <w:lang w:eastAsia="zh-CN"/>
        </w:rPr>
        <w:t>评标办法前附表</w:t>
      </w:r>
      <w:bookmarkEnd w:id="116"/>
      <w:bookmarkEnd w:id="117"/>
      <w:bookmarkEnd w:id="118"/>
      <w:bookmarkEnd w:id="119"/>
      <w:bookmarkEnd w:id="120"/>
      <w:bookmarkEnd w:id="121"/>
      <w:bookmarkEnd w:id="122"/>
      <w:bookmarkEnd w:id="123"/>
      <w:bookmarkEnd w:id="124"/>
    </w:p>
    <w:p>
      <w:pPr>
        <w:autoSpaceDE w:val="0"/>
        <w:autoSpaceDN w:val="0"/>
        <w:adjustRightInd w:val="0"/>
        <w:snapToGrid w:val="0"/>
        <w:spacing w:line="400" w:lineRule="exact"/>
        <w:ind w:firstLine="420" w:firstLineChars="200"/>
        <w:jc w:val="left"/>
        <w:rPr>
          <w:rFonts w:hint="eastAsia" w:ascii="宋体" w:hAnsi="宋体" w:cs="宋体"/>
          <w:kern w:val="0"/>
          <w:szCs w:val="21"/>
          <w:highlight w:val="none"/>
        </w:rPr>
      </w:pPr>
      <w:r>
        <w:rPr>
          <w:szCs w:val="21"/>
          <w:highlight w:val="none"/>
        </w:rPr>
        <w:t>评标办法中的评审内容必须和投标人须知中的对应内容一致，若投标人须知中未作要求的内容，不得列入评标办法作为评定依据。</w:t>
      </w:r>
      <w:r>
        <w:rPr>
          <w:rFonts w:hint="eastAsia" w:ascii="宋体" w:hAnsi="宋体" w:cs="宋体"/>
          <w:bCs/>
          <w:color w:val="000000"/>
          <w:szCs w:val="21"/>
          <w:highlight w:val="none"/>
        </w:rPr>
        <w:t>当评标办法前附表和评标办法正文不一致时以评标办法前附表为准。</w:t>
      </w:r>
    </w:p>
    <w:tbl>
      <w:tblPr>
        <w:tblStyle w:val="15"/>
        <w:tblW w:w="9549" w:type="dxa"/>
        <w:jc w:val="center"/>
        <w:tblInd w:w="0" w:type="dxa"/>
        <w:tblLayout w:type="fixed"/>
        <w:tblCellMar>
          <w:top w:w="0" w:type="dxa"/>
          <w:left w:w="0" w:type="dxa"/>
          <w:bottom w:w="0" w:type="dxa"/>
          <w:right w:w="0" w:type="dxa"/>
        </w:tblCellMar>
      </w:tblPr>
      <w:tblGrid>
        <w:gridCol w:w="900"/>
        <w:gridCol w:w="1123"/>
        <w:gridCol w:w="1796"/>
        <w:gridCol w:w="5730"/>
      </w:tblGrid>
      <w:tr>
        <w:tblPrEx>
          <w:tblLayout w:type="fixed"/>
        </w:tblPrEx>
        <w:trPr>
          <w:jc w:val="center"/>
        </w:trPr>
        <w:tc>
          <w:tcPr>
            <w:tcW w:w="202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 w:val="24"/>
                <w:szCs w:val="24"/>
                <w:highlight w:val="none"/>
              </w:rPr>
            </w:pPr>
            <w:r>
              <w:rPr>
                <w:rFonts w:hint="eastAsia" w:ascii="宋体" w:hAnsi="宋体" w:cs="宋体"/>
                <w:kern w:val="0"/>
                <w:szCs w:val="21"/>
                <w:highlight w:val="none"/>
              </w:rPr>
              <w:t>条款号</w:t>
            </w:r>
          </w:p>
        </w:tc>
        <w:tc>
          <w:tcPr>
            <w:tcW w:w="17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 w:val="24"/>
                <w:szCs w:val="24"/>
                <w:highlight w:val="none"/>
              </w:rPr>
            </w:pPr>
            <w:r>
              <w:rPr>
                <w:rFonts w:hint="eastAsia" w:ascii="宋体" w:hAnsi="宋体" w:cs="宋体"/>
                <w:kern w:val="0"/>
                <w:szCs w:val="21"/>
                <w:highlight w:val="none"/>
              </w:rPr>
              <w:t>评审因素</w:t>
            </w:r>
          </w:p>
        </w:tc>
        <w:tc>
          <w:tcPr>
            <w:tcW w:w="573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400" w:lineRule="exact"/>
              <w:jc w:val="center"/>
              <w:rPr>
                <w:rFonts w:hint="eastAsia" w:ascii="宋体" w:hAnsi="宋体" w:cs="宋体"/>
                <w:kern w:val="0"/>
                <w:sz w:val="24"/>
                <w:szCs w:val="24"/>
                <w:highlight w:val="none"/>
              </w:rPr>
            </w:pPr>
            <w:r>
              <w:rPr>
                <w:rFonts w:hint="eastAsia" w:ascii="宋体" w:hAnsi="宋体" w:cs="宋体"/>
                <w:kern w:val="0"/>
                <w:szCs w:val="21"/>
                <w:highlight w:val="none"/>
              </w:rPr>
              <w:t>评审标准</w:t>
            </w:r>
          </w:p>
        </w:tc>
      </w:tr>
      <w:tr>
        <w:tblPrEx>
          <w:tblLayout w:type="fixed"/>
          <w:tblCellMar>
            <w:top w:w="0" w:type="dxa"/>
            <w:left w:w="0" w:type="dxa"/>
            <w:bottom w:w="0" w:type="dxa"/>
            <w:right w:w="0" w:type="dxa"/>
          </w:tblCellMar>
        </w:tblPrEx>
        <w:trPr>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1</w:t>
            </w:r>
          </w:p>
        </w:tc>
        <w:tc>
          <w:tcPr>
            <w:tcW w:w="112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评标方法</w:t>
            </w:r>
          </w:p>
        </w:tc>
        <w:tc>
          <w:tcPr>
            <w:tcW w:w="17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中标候选人排序</w:t>
            </w:r>
          </w:p>
          <w:p>
            <w:pPr>
              <w:autoSpaceDE w:val="0"/>
              <w:autoSpaceDN w:val="0"/>
              <w:adjustRightInd w:val="0"/>
              <w:snapToGrid w:val="0"/>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方法</w:t>
            </w:r>
          </w:p>
        </w:tc>
        <w:tc>
          <w:tcPr>
            <w:tcW w:w="57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ind w:firstLine="420" w:firstLineChars="200"/>
              <w:rPr>
                <w:rFonts w:hint="eastAsia" w:ascii="宋体" w:hAnsi="宋体" w:cs="宋体"/>
                <w:kern w:val="0"/>
                <w:szCs w:val="21"/>
                <w:highlight w:val="none"/>
              </w:rPr>
            </w:pPr>
            <w:r>
              <w:rPr>
                <w:rFonts w:hint="eastAsia" w:ascii="宋体" w:hAnsi="宋体" w:cs="宋体"/>
                <w:szCs w:val="21"/>
                <w:highlight w:val="none"/>
              </w:rPr>
              <w:t>综合评分相等时，以投标报价低的优先；投标报价相等的，以技术部分得分高的优先；技术部分得分相等的，</w:t>
            </w:r>
            <w:r>
              <w:rPr>
                <w:szCs w:val="21"/>
                <w:highlight w:val="none"/>
              </w:rPr>
              <w:t>则由评标委员会采用</w:t>
            </w:r>
            <w:r>
              <w:rPr>
                <w:rFonts w:hint="eastAsia"/>
                <w:szCs w:val="21"/>
                <w:highlight w:val="none"/>
              </w:rPr>
              <w:t>投票表决</w:t>
            </w:r>
            <w:r>
              <w:rPr>
                <w:szCs w:val="21"/>
                <w:highlight w:val="none"/>
              </w:rPr>
              <w:t>的方式确定排名顺序。</w:t>
            </w:r>
          </w:p>
        </w:tc>
      </w:tr>
      <w:tr>
        <w:tblPrEx>
          <w:tblLayout w:type="fixed"/>
          <w:tblCellMar>
            <w:top w:w="0" w:type="dxa"/>
            <w:left w:w="0" w:type="dxa"/>
            <w:bottom w:w="0" w:type="dxa"/>
            <w:right w:w="0" w:type="dxa"/>
          </w:tblCellMar>
        </w:tblPrEx>
        <w:trPr>
          <w:jc w:val="center"/>
        </w:trPr>
        <w:tc>
          <w:tcPr>
            <w:tcW w:w="90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2.1.1</w:t>
            </w:r>
          </w:p>
        </w:tc>
        <w:tc>
          <w:tcPr>
            <w:tcW w:w="1123"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形式评审 标准</w:t>
            </w:r>
          </w:p>
        </w:tc>
        <w:tc>
          <w:tcPr>
            <w:tcW w:w="17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投标人名称</w:t>
            </w:r>
          </w:p>
        </w:tc>
        <w:tc>
          <w:tcPr>
            <w:tcW w:w="57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ind w:firstLine="420" w:firstLineChars="200"/>
              <w:rPr>
                <w:rFonts w:hint="eastAsia" w:ascii="宋体" w:hAnsi="宋体" w:cs="宋体"/>
                <w:kern w:val="0"/>
                <w:szCs w:val="21"/>
                <w:highlight w:val="none"/>
              </w:rPr>
            </w:pPr>
            <w:r>
              <w:rPr>
                <w:rFonts w:hint="eastAsia" w:ascii="宋体" w:hAnsi="宋体" w:cs="宋体"/>
                <w:bCs/>
                <w:szCs w:val="21"/>
                <w:highlight w:val="none"/>
              </w:rPr>
              <w:t>与营业执照</w:t>
            </w:r>
            <w:r>
              <w:rPr>
                <w:rFonts w:hint="eastAsia" w:cs="宋体"/>
                <w:bCs/>
                <w:szCs w:val="21"/>
                <w:highlight w:val="none"/>
              </w:rPr>
              <w:t>、资质证书（如有）</w:t>
            </w:r>
            <w:r>
              <w:rPr>
                <w:rFonts w:hint="eastAsia" w:ascii="宋体" w:hAnsi="宋体" w:cs="宋体"/>
                <w:bCs/>
                <w:szCs w:val="21"/>
                <w:highlight w:val="none"/>
              </w:rPr>
              <w:t>一致</w:t>
            </w:r>
          </w:p>
        </w:tc>
      </w:tr>
      <w:tr>
        <w:tblPrEx>
          <w:tblLayout w:type="fixed"/>
          <w:tblCellMar>
            <w:top w:w="0" w:type="dxa"/>
            <w:left w:w="0" w:type="dxa"/>
            <w:bottom w:w="0" w:type="dxa"/>
            <w:right w:w="0" w:type="dxa"/>
          </w:tblCellMar>
        </w:tblPrEx>
        <w:trPr>
          <w:jc w:val="center"/>
        </w:trPr>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p>
        </w:tc>
        <w:tc>
          <w:tcPr>
            <w:tcW w:w="1123"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p>
        </w:tc>
        <w:tc>
          <w:tcPr>
            <w:tcW w:w="17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cs="宋体"/>
                <w:kern w:val="0"/>
                <w:szCs w:val="21"/>
                <w:highlight w:val="none"/>
              </w:rPr>
            </w:pPr>
            <w:r>
              <w:rPr>
                <w:rFonts w:hint="eastAsia" w:ascii="宋体" w:hAnsi="宋体" w:cs="宋体"/>
                <w:szCs w:val="21"/>
                <w:highlight w:val="none"/>
              </w:rPr>
              <w:t>投标函签名盖章</w:t>
            </w:r>
          </w:p>
        </w:tc>
        <w:tc>
          <w:tcPr>
            <w:tcW w:w="57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有法定代表人或其委托代理人签名或加盖单位章。由法定代表人签名的，应附法定代表人身份证明，由代理人签名的，应附授权委托书。</w:t>
            </w:r>
          </w:p>
        </w:tc>
      </w:tr>
      <w:tr>
        <w:tblPrEx>
          <w:tblLayout w:type="fixed"/>
          <w:tblCellMar>
            <w:top w:w="0" w:type="dxa"/>
            <w:left w:w="0" w:type="dxa"/>
            <w:bottom w:w="0" w:type="dxa"/>
            <w:right w:w="0" w:type="dxa"/>
          </w:tblCellMar>
        </w:tblPrEx>
        <w:trPr>
          <w:jc w:val="center"/>
        </w:trPr>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p>
        </w:tc>
        <w:tc>
          <w:tcPr>
            <w:tcW w:w="1123"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p>
        </w:tc>
        <w:tc>
          <w:tcPr>
            <w:tcW w:w="17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投标文件格式</w:t>
            </w:r>
          </w:p>
        </w:tc>
        <w:tc>
          <w:tcPr>
            <w:tcW w:w="57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符合第六章“投标文件格式”的规定</w:t>
            </w:r>
          </w:p>
        </w:tc>
      </w:tr>
      <w:tr>
        <w:tblPrEx>
          <w:tblLayout w:type="fixed"/>
          <w:tblCellMar>
            <w:top w:w="0" w:type="dxa"/>
            <w:left w:w="0" w:type="dxa"/>
            <w:bottom w:w="0" w:type="dxa"/>
            <w:right w:w="0" w:type="dxa"/>
          </w:tblCellMar>
        </w:tblPrEx>
        <w:trPr>
          <w:jc w:val="center"/>
        </w:trPr>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p>
        </w:tc>
        <w:tc>
          <w:tcPr>
            <w:tcW w:w="1123"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p>
        </w:tc>
        <w:tc>
          <w:tcPr>
            <w:tcW w:w="1796" w:type="dxa"/>
            <w:tcBorders>
              <w:top w:val="single" w:color="000000" w:sz="4" w:space="0"/>
              <w:left w:val="single" w:color="000000" w:sz="4" w:space="0"/>
              <w:bottom w:val="single" w:color="000000" w:sz="4" w:space="0"/>
              <w:right w:val="single" w:color="000000" w:sz="4" w:space="0"/>
            </w:tcBorders>
            <w:vAlign w:val="center"/>
          </w:tcPr>
          <w:p>
            <w:pPr>
              <w:pStyle w:val="17"/>
              <w:snapToGrid w:val="0"/>
              <w:jc w:val="center"/>
              <w:rPr>
                <w:rFonts w:hint="eastAsia" w:hAnsi="宋体" w:cs="宋体"/>
                <w:color w:val="auto"/>
                <w:sz w:val="21"/>
                <w:szCs w:val="21"/>
                <w:highlight w:val="none"/>
              </w:rPr>
            </w:pPr>
            <w:r>
              <w:rPr>
                <w:rFonts w:hint="eastAsia" w:hAnsi="宋体" w:eastAsia="宋体" w:cs="宋体"/>
                <w:bCs/>
                <w:color w:val="auto"/>
                <w:sz w:val="21"/>
                <w:szCs w:val="21"/>
                <w:highlight w:val="none"/>
              </w:rPr>
              <w:t>投标文件的签署</w:t>
            </w:r>
          </w:p>
        </w:tc>
        <w:tc>
          <w:tcPr>
            <w:tcW w:w="57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ind w:firstLine="420" w:firstLineChars="200"/>
              <w:rPr>
                <w:rFonts w:hint="eastAsia" w:ascii="宋体" w:hAnsi="宋体" w:cs="宋体"/>
                <w:kern w:val="0"/>
                <w:szCs w:val="21"/>
                <w:highlight w:val="none"/>
              </w:rPr>
            </w:pPr>
            <w:r>
              <w:rPr>
                <w:rFonts w:ascii="宋体" w:hAnsi="宋体"/>
                <w:kern w:val="0"/>
                <w:highlight w:val="none"/>
              </w:rPr>
              <w:t>投标文件</w:t>
            </w:r>
            <w:r>
              <w:rPr>
                <w:rFonts w:hint="eastAsia" w:ascii="宋体" w:hAnsi="宋体"/>
                <w:kern w:val="0"/>
                <w:highlight w:val="none"/>
              </w:rPr>
              <w:t>格式要求</w:t>
            </w:r>
            <w:r>
              <w:rPr>
                <w:rFonts w:ascii="宋体" w:hAnsi="宋体"/>
                <w:kern w:val="0"/>
                <w:highlight w:val="none"/>
              </w:rPr>
              <w:t>法定代表人或其委托代理人</w:t>
            </w:r>
            <w:r>
              <w:rPr>
                <w:rFonts w:hint="eastAsia" w:ascii="宋体" w:hAnsi="宋体"/>
                <w:kern w:val="0"/>
                <w:highlight w:val="none"/>
              </w:rPr>
              <w:t>签名</w:t>
            </w:r>
            <w:r>
              <w:rPr>
                <w:rFonts w:ascii="宋体" w:hAnsi="宋体"/>
                <w:kern w:val="0"/>
                <w:highlight w:val="none"/>
              </w:rPr>
              <w:t>（或盖章）</w:t>
            </w:r>
            <w:r>
              <w:rPr>
                <w:rFonts w:hint="eastAsia" w:ascii="宋体" w:hAnsi="宋体"/>
                <w:kern w:val="0"/>
                <w:highlight w:val="none"/>
              </w:rPr>
              <w:t>的须</w:t>
            </w:r>
            <w:r>
              <w:rPr>
                <w:rFonts w:ascii="宋体" w:hAnsi="宋体"/>
                <w:kern w:val="0"/>
                <w:highlight w:val="none"/>
              </w:rPr>
              <w:t>齐全。</w:t>
            </w:r>
          </w:p>
        </w:tc>
      </w:tr>
      <w:tr>
        <w:tblPrEx>
          <w:tblLayout w:type="fixed"/>
          <w:tblCellMar>
            <w:top w:w="0" w:type="dxa"/>
            <w:left w:w="0" w:type="dxa"/>
            <w:bottom w:w="0" w:type="dxa"/>
            <w:right w:w="0" w:type="dxa"/>
          </w:tblCellMar>
        </w:tblPrEx>
        <w:trPr>
          <w:jc w:val="center"/>
        </w:trPr>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p>
        </w:tc>
        <w:tc>
          <w:tcPr>
            <w:tcW w:w="1123"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p>
        </w:tc>
        <w:tc>
          <w:tcPr>
            <w:tcW w:w="17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联合体投标人</w:t>
            </w:r>
          </w:p>
          <w:p>
            <w:pPr>
              <w:autoSpaceDE w:val="0"/>
              <w:autoSpaceDN w:val="0"/>
              <w:adjustRightInd w:val="0"/>
              <w:snapToGrid w:val="0"/>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（如有）</w:t>
            </w:r>
          </w:p>
        </w:tc>
        <w:tc>
          <w:tcPr>
            <w:tcW w:w="57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w:t>
            </w:r>
          </w:p>
        </w:tc>
      </w:tr>
      <w:tr>
        <w:tblPrEx>
          <w:tblLayout w:type="fixed"/>
          <w:tblCellMar>
            <w:top w:w="0" w:type="dxa"/>
            <w:left w:w="0" w:type="dxa"/>
            <w:bottom w:w="0" w:type="dxa"/>
            <w:right w:w="0" w:type="dxa"/>
          </w:tblCellMar>
        </w:tblPrEx>
        <w:trPr>
          <w:jc w:val="center"/>
        </w:trPr>
        <w:tc>
          <w:tcPr>
            <w:tcW w:w="900" w:type="dxa"/>
            <w:vMerge w:val="restart"/>
            <w:tcBorders>
              <w:top w:val="single" w:color="000000" w:sz="4" w:space="0"/>
              <w:left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2.1.2</w:t>
            </w:r>
          </w:p>
        </w:tc>
        <w:tc>
          <w:tcPr>
            <w:tcW w:w="1123" w:type="dxa"/>
            <w:vMerge w:val="restart"/>
            <w:tcBorders>
              <w:top w:val="single" w:color="000000" w:sz="4" w:space="0"/>
              <w:left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资格评审 标准</w:t>
            </w:r>
          </w:p>
        </w:tc>
        <w:tc>
          <w:tcPr>
            <w:tcW w:w="17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营业执照</w:t>
            </w:r>
          </w:p>
        </w:tc>
        <w:tc>
          <w:tcPr>
            <w:tcW w:w="57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ind w:firstLine="420" w:firstLineChars="200"/>
              <w:rPr>
                <w:rFonts w:hint="eastAsia" w:ascii="宋体" w:hAnsi="宋体" w:cs="宋体"/>
                <w:kern w:val="0"/>
                <w:szCs w:val="21"/>
                <w:highlight w:val="none"/>
              </w:rPr>
            </w:pPr>
            <w:r>
              <w:rPr>
                <w:rFonts w:hint="eastAsia" w:ascii="宋体" w:hAnsi="宋体" w:cs="宋体"/>
                <w:szCs w:val="21"/>
                <w:highlight w:val="none"/>
              </w:rPr>
              <w:t>符合第二章“投标人须知前附表”第1.4.1项规定</w:t>
            </w:r>
          </w:p>
        </w:tc>
      </w:tr>
      <w:tr>
        <w:tblPrEx>
          <w:tblLayout w:type="fixed"/>
          <w:tblCellMar>
            <w:top w:w="0" w:type="dxa"/>
            <w:left w:w="0" w:type="dxa"/>
            <w:bottom w:w="0" w:type="dxa"/>
            <w:right w:w="0" w:type="dxa"/>
          </w:tblCellMar>
        </w:tblPrEx>
        <w:trPr>
          <w:jc w:val="center"/>
        </w:trPr>
        <w:tc>
          <w:tcPr>
            <w:tcW w:w="900" w:type="dxa"/>
            <w:vMerge w:val="continue"/>
            <w:tcBorders>
              <w:left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p>
        </w:tc>
        <w:tc>
          <w:tcPr>
            <w:tcW w:w="1123" w:type="dxa"/>
            <w:vMerge w:val="continue"/>
            <w:tcBorders>
              <w:left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p>
        </w:tc>
        <w:tc>
          <w:tcPr>
            <w:tcW w:w="17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资质要求</w:t>
            </w:r>
          </w:p>
        </w:tc>
        <w:tc>
          <w:tcPr>
            <w:tcW w:w="57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ind w:firstLine="420" w:firstLineChars="200"/>
              <w:rPr>
                <w:rFonts w:hint="eastAsia" w:ascii="宋体" w:hAnsi="宋体" w:cs="宋体"/>
                <w:kern w:val="0"/>
                <w:szCs w:val="21"/>
                <w:highlight w:val="none"/>
              </w:rPr>
            </w:pPr>
            <w:r>
              <w:rPr>
                <w:rFonts w:hint="eastAsia" w:ascii="宋体" w:hAnsi="宋体" w:cs="宋体"/>
                <w:szCs w:val="21"/>
                <w:highlight w:val="none"/>
              </w:rPr>
              <w:t>符合第二章“投标人须知前附表”第1.4.1项规定</w:t>
            </w:r>
          </w:p>
        </w:tc>
      </w:tr>
      <w:tr>
        <w:tblPrEx>
          <w:tblLayout w:type="fixed"/>
          <w:tblCellMar>
            <w:top w:w="0" w:type="dxa"/>
            <w:left w:w="0" w:type="dxa"/>
            <w:bottom w:w="0" w:type="dxa"/>
            <w:right w:w="0" w:type="dxa"/>
          </w:tblCellMar>
        </w:tblPrEx>
        <w:trPr>
          <w:jc w:val="center"/>
        </w:trPr>
        <w:tc>
          <w:tcPr>
            <w:tcW w:w="900" w:type="dxa"/>
            <w:vMerge w:val="continue"/>
            <w:tcBorders>
              <w:left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p>
        </w:tc>
        <w:tc>
          <w:tcPr>
            <w:tcW w:w="1123" w:type="dxa"/>
            <w:vMerge w:val="continue"/>
            <w:tcBorders>
              <w:left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p>
        </w:tc>
        <w:tc>
          <w:tcPr>
            <w:tcW w:w="17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财务要求</w:t>
            </w:r>
          </w:p>
        </w:tc>
        <w:tc>
          <w:tcPr>
            <w:tcW w:w="57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w:t>
            </w:r>
          </w:p>
        </w:tc>
      </w:tr>
      <w:tr>
        <w:tblPrEx>
          <w:tblLayout w:type="fixed"/>
          <w:tblCellMar>
            <w:top w:w="0" w:type="dxa"/>
            <w:left w:w="0" w:type="dxa"/>
            <w:bottom w:w="0" w:type="dxa"/>
            <w:right w:w="0" w:type="dxa"/>
          </w:tblCellMar>
        </w:tblPrEx>
        <w:trPr>
          <w:jc w:val="center"/>
        </w:trPr>
        <w:tc>
          <w:tcPr>
            <w:tcW w:w="900" w:type="dxa"/>
            <w:vMerge w:val="continue"/>
            <w:tcBorders>
              <w:left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p>
        </w:tc>
        <w:tc>
          <w:tcPr>
            <w:tcW w:w="1123" w:type="dxa"/>
            <w:vMerge w:val="continue"/>
            <w:tcBorders>
              <w:left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p>
        </w:tc>
        <w:tc>
          <w:tcPr>
            <w:tcW w:w="17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业绩要求</w:t>
            </w:r>
          </w:p>
        </w:tc>
        <w:tc>
          <w:tcPr>
            <w:tcW w:w="57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ind w:firstLine="420" w:firstLineChars="200"/>
              <w:rPr>
                <w:rFonts w:hint="eastAsia" w:ascii="宋体" w:hAnsi="宋体" w:cs="宋体"/>
                <w:kern w:val="0"/>
                <w:szCs w:val="21"/>
                <w:highlight w:val="none"/>
              </w:rPr>
            </w:pPr>
            <w:r>
              <w:rPr>
                <w:rFonts w:hint="eastAsia" w:ascii="宋体" w:hAnsi="宋体" w:cs="宋体"/>
                <w:szCs w:val="21"/>
                <w:highlight w:val="none"/>
                <w:lang w:val="en-US" w:eastAsia="zh-CN"/>
              </w:rPr>
              <w:t>/</w:t>
            </w:r>
          </w:p>
        </w:tc>
      </w:tr>
      <w:tr>
        <w:tblPrEx>
          <w:tblLayout w:type="fixed"/>
          <w:tblCellMar>
            <w:top w:w="0" w:type="dxa"/>
            <w:left w:w="0" w:type="dxa"/>
            <w:bottom w:w="0" w:type="dxa"/>
            <w:right w:w="0" w:type="dxa"/>
          </w:tblCellMar>
        </w:tblPrEx>
        <w:trPr>
          <w:jc w:val="center"/>
        </w:trPr>
        <w:tc>
          <w:tcPr>
            <w:tcW w:w="900" w:type="dxa"/>
            <w:vMerge w:val="continue"/>
            <w:tcBorders>
              <w:left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p>
        </w:tc>
        <w:tc>
          <w:tcPr>
            <w:tcW w:w="1123" w:type="dxa"/>
            <w:vMerge w:val="continue"/>
            <w:tcBorders>
              <w:left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p>
        </w:tc>
        <w:tc>
          <w:tcPr>
            <w:tcW w:w="17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投标截止日投标资格情况</w:t>
            </w:r>
          </w:p>
        </w:tc>
        <w:tc>
          <w:tcPr>
            <w:tcW w:w="57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ind w:firstLine="420" w:firstLineChars="200"/>
              <w:rPr>
                <w:rFonts w:hint="eastAsia" w:ascii="宋体" w:hAnsi="宋体" w:cs="宋体"/>
                <w:kern w:val="0"/>
                <w:szCs w:val="21"/>
                <w:highlight w:val="none"/>
              </w:rPr>
            </w:pPr>
            <w:r>
              <w:rPr>
                <w:rFonts w:hint="eastAsia" w:ascii="宋体" w:hAnsi="宋体" w:cs="宋体"/>
                <w:szCs w:val="21"/>
                <w:highlight w:val="none"/>
              </w:rPr>
              <w:t>符合第二章“投标人须知前附表”第1.4.1项规定</w:t>
            </w:r>
          </w:p>
        </w:tc>
      </w:tr>
      <w:tr>
        <w:tblPrEx>
          <w:tblLayout w:type="fixed"/>
          <w:tblCellMar>
            <w:top w:w="0" w:type="dxa"/>
            <w:left w:w="0" w:type="dxa"/>
            <w:bottom w:w="0" w:type="dxa"/>
            <w:right w:w="0" w:type="dxa"/>
          </w:tblCellMar>
        </w:tblPrEx>
        <w:trPr>
          <w:jc w:val="center"/>
        </w:trPr>
        <w:tc>
          <w:tcPr>
            <w:tcW w:w="900" w:type="dxa"/>
            <w:vMerge w:val="continue"/>
            <w:tcBorders>
              <w:left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p>
        </w:tc>
        <w:tc>
          <w:tcPr>
            <w:tcW w:w="1123" w:type="dxa"/>
            <w:vMerge w:val="continue"/>
            <w:tcBorders>
              <w:left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p>
        </w:tc>
        <w:tc>
          <w:tcPr>
            <w:tcW w:w="17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项目负责人</w:t>
            </w:r>
          </w:p>
        </w:tc>
        <w:tc>
          <w:tcPr>
            <w:tcW w:w="57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ind w:firstLine="420" w:firstLineChars="200"/>
              <w:rPr>
                <w:rFonts w:hint="eastAsia" w:ascii="宋体" w:hAnsi="宋体" w:cs="宋体"/>
                <w:kern w:val="0"/>
                <w:szCs w:val="21"/>
                <w:highlight w:val="none"/>
              </w:rPr>
            </w:pPr>
            <w:r>
              <w:rPr>
                <w:rFonts w:hint="eastAsia" w:ascii="宋体" w:hAnsi="宋体" w:cs="宋体"/>
                <w:szCs w:val="21"/>
                <w:highlight w:val="none"/>
              </w:rPr>
              <w:t>符合第二章“投标人须知前附表”第1.4.1项规定</w:t>
            </w:r>
          </w:p>
        </w:tc>
      </w:tr>
      <w:tr>
        <w:tblPrEx>
          <w:tblLayout w:type="fixed"/>
          <w:tblCellMar>
            <w:top w:w="0" w:type="dxa"/>
            <w:left w:w="0" w:type="dxa"/>
            <w:bottom w:w="0" w:type="dxa"/>
            <w:right w:w="0" w:type="dxa"/>
          </w:tblCellMar>
        </w:tblPrEx>
        <w:trPr>
          <w:jc w:val="center"/>
        </w:trPr>
        <w:tc>
          <w:tcPr>
            <w:tcW w:w="900" w:type="dxa"/>
            <w:vMerge w:val="continue"/>
            <w:tcBorders>
              <w:left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p>
        </w:tc>
        <w:tc>
          <w:tcPr>
            <w:tcW w:w="1123" w:type="dxa"/>
            <w:vMerge w:val="continue"/>
            <w:tcBorders>
              <w:left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p>
        </w:tc>
        <w:tc>
          <w:tcPr>
            <w:tcW w:w="17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r>
              <w:rPr>
                <w:rFonts w:hint="eastAsia" w:ascii="宋体" w:hAnsi="宋体" w:cs="宋体"/>
                <w:kern w:val="0"/>
                <w:szCs w:val="21"/>
                <w:highlight w:val="none"/>
                <w:lang w:val="en-US" w:eastAsia="zh-CN"/>
              </w:rPr>
              <w:t>技术负责人</w:t>
            </w:r>
          </w:p>
        </w:tc>
        <w:tc>
          <w:tcPr>
            <w:tcW w:w="57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ind w:firstLine="420" w:firstLineChars="200"/>
              <w:rPr>
                <w:rFonts w:hint="eastAsia" w:ascii="宋体" w:hAnsi="宋体" w:cs="宋体"/>
                <w:kern w:val="0"/>
                <w:szCs w:val="21"/>
                <w:highlight w:val="none"/>
              </w:rPr>
            </w:pPr>
            <w:r>
              <w:rPr>
                <w:rFonts w:hint="eastAsia" w:ascii="宋体" w:hAnsi="宋体" w:cs="宋体"/>
                <w:szCs w:val="21"/>
                <w:highlight w:val="none"/>
              </w:rPr>
              <w:t>符合第二章“投标人须知前附表”第1.4.1项规定</w:t>
            </w:r>
          </w:p>
        </w:tc>
      </w:tr>
      <w:tr>
        <w:tblPrEx>
          <w:tblLayout w:type="fixed"/>
          <w:tblCellMar>
            <w:top w:w="0" w:type="dxa"/>
            <w:left w:w="0" w:type="dxa"/>
            <w:bottom w:w="0" w:type="dxa"/>
            <w:right w:w="0" w:type="dxa"/>
          </w:tblCellMar>
        </w:tblPrEx>
        <w:trPr>
          <w:jc w:val="center"/>
        </w:trPr>
        <w:tc>
          <w:tcPr>
            <w:tcW w:w="900" w:type="dxa"/>
            <w:vMerge w:val="continue"/>
            <w:tcBorders>
              <w:left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p>
        </w:tc>
        <w:tc>
          <w:tcPr>
            <w:tcW w:w="1123" w:type="dxa"/>
            <w:vMerge w:val="continue"/>
            <w:tcBorders>
              <w:left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p>
        </w:tc>
        <w:tc>
          <w:tcPr>
            <w:tcW w:w="17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其他要求</w:t>
            </w:r>
          </w:p>
        </w:tc>
        <w:tc>
          <w:tcPr>
            <w:tcW w:w="57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ind w:firstLine="420" w:firstLineChars="200"/>
              <w:rPr>
                <w:rFonts w:hint="eastAsia" w:ascii="宋体" w:hAnsi="宋体" w:cs="宋体"/>
                <w:kern w:val="0"/>
                <w:szCs w:val="21"/>
                <w:highlight w:val="none"/>
              </w:rPr>
            </w:pPr>
            <w:r>
              <w:rPr>
                <w:rFonts w:hint="eastAsia" w:ascii="宋体" w:hAnsi="宋体" w:cs="宋体"/>
                <w:szCs w:val="21"/>
                <w:highlight w:val="none"/>
              </w:rPr>
              <w:t>符合第二章“投标人须知前附表”第1.4.1项规定</w:t>
            </w:r>
          </w:p>
        </w:tc>
      </w:tr>
      <w:tr>
        <w:tblPrEx>
          <w:tblLayout w:type="fixed"/>
          <w:tblCellMar>
            <w:top w:w="0" w:type="dxa"/>
            <w:left w:w="0" w:type="dxa"/>
            <w:bottom w:w="0" w:type="dxa"/>
            <w:right w:w="0" w:type="dxa"/>
          </w:tblCellMar>
        </w:tblPrEx>
        <w:trPr>
          <w:jc w:val="center"/>
        </w:trPr>
        <w:tc>
          <w:tcPr>
            <w:tcW w:w="900" w:type="dxa"/>
            <w:vMerge w:val="continue"/>
            <w:tcBorders>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p>
        </w:tc>
        <w:tc>
          <w:tcPr>
            <w:tcW w:w="1123" w:type="dxa"/>
            <w:vMerge w:val="continue"/>
            <w:tcBorders>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p>
        </w:tc>
        <w:tc>
          <w:tcPr>
            <w:tcW w:w="17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联合体投标人</w:t>
            </w:r>
          </w:p>
          <w:p>
            <w:pPr>
              <w:autoSpaceDE w:val="0"/>
              <w:autoSpaceDN w:val="0"/>
              <w:adjustRightInd w:val="0"/>
              <w:snapToGrid w:val="0"/>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（如有）</w:t>
            </w:r>
          </w:p>
        </w:tc>
        <w:tc>
          <w:tcPr>
            <w:tcW w:w="57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w:t>
            </w:r>
          </w:p>
        </w:tc>
      </w:tr>
      <w:tr>
        <w:tblPrEx>
          <w:tblLayout w:type="fixed"/>
          <w:tblCellMar>
            <w:top w:w="0" w:type="dxa"/>
            <w:left w:w="0" w:type="dxa"/>
            <w:bottom w:w="0" w:type="dxa"/>
            <w:right w:w="0" w:type="dxa"/>
          </w:tblCellMar>
        </w:tblPrEx>
        <w:trPr>
          <w:jc w:val="center"/>
        </w:trPr>
        <w:tc>
          <w:tcPr>
            <w:tcW w:w="90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2.1.3</w:t>
            </w:r>
          </w:p>
        </w:tc>
        <w:tc>
          <w:tcPr>
            <w:tcW w:w="1123"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响应性评 审标准</w:t>
            </w:r>
          </w:p>
        </w:tc>
        <w:tc>
          <w:tcPr>
            <w:tcW w:w="17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投标报价</w:t>
            </w:r>
          </w:p>
        </w:tc>
        <w:tc>
          <w:tcPr>
            <w:tcW w:w="57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符合第二章“投标人须知”第 3.2 款规定</w:t>
            </w:r>
          </w:p>
        </w:tc>
      </w:tr>
      <w:tr>
        <w:tblPrEx>
          <w:tblLayout w:type="fixed"/>
          <w:tblCellMar>
            <w:top w:w="0" w:type="dxa"/>
            <w:left w:w="0" w:type="dxa"/>
            <w:bottom w:w="0" w:type="dxa"/>
            <w:right w:w="0" w:type="dxa"/>
          </w:tblCellMar>
        </w:tblPrEx>
        <w:trPr>
          <w:jc w:val="center"/>
        </w:trPr>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p>
        </w:tc>
        <w:tc>
          <w:tcPr>
            <w:tcW w:w="1123"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p>
        </w:tc>
        <w:tc>
          <w:tcPr>
            <w:tcW w:w="17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投标内容</w:t>
            </w:r>
          </w:p>
        </w:tc>
        <w:tc>
          <w:tcPr>
            <w:tcW w:w="57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符合第二章“投标人须知”第 1.3.1 项规定</w:t>
            </w:r>
          </w:p>
        </w:tc>
      </w:tr>
      <w:tr>
        <w:tblPrEx>
          <w:tblLayout w:type="fixed"/>
          <w:tblCellMar>
            <w:top w:w="0" w:type="dxa"/>
            <w:left w:w="0" w:type="dxa"/>
            <w:bottom w:w="0" w:type="dxa"/>
            <w:right w:w="0" w:type="dxa"/>
          </w:tblCellMar>
        </w:tblPrEx>
        <w:trPr>
          <w:jc w:val="center"/>
        </w:trPr>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p>
        </w:tc>
        <w:tc>
          <w:tcPr>
            <w:tcW w:w="1123"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p>
        </w:tc>
        <w:tc>
          <w:tcPr>
            <w:tcW w:w="17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服务期限</w:t>
            </w:r>
          </w:p>
        </w:tc>
        <w:tc>
          <w:tcPr>
            <w:tcW w:w="57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符合第二章“投标人须知”第 1.3.2 项规定</w:t>
            </w:r>
          </w:p>
        </w:tc>
      </w:tr>
      <w:tr>
        <w:tblPrEx>
          <w:tblLayout w:type="fixed"/>
          <w:tblCellMar>
            <w:top w:w="0" w:type="dxa"/>
            <w:left w:w="0" w:type="dxa"/>
            <w:bottom w:w="0" w:type="dxa"/>
            <w:right w:w="0" w:type="dxa"/>
          </w:tblCellMar>
        </w:tblPrEx>
        <w:trPr>
          <w:jc w:val="center"/>
        </w:trPr>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p>
        </w:tc>
        <w:tc>
          <w:tcPr>
            <w:tcW w:w="1123"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p>
        </w:tc>
        <w:tc>
          <w:tcPr>
            <w:tcW w:w="17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质量标准</w:t>
            </w:r>
          </w:p>
        </w:tc>
        <w:tc>
          <w:tcPr>
            <w:tcW w:w="57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符合第二章“投标人须知”第 1.3.3 项规定</w:t>
            </w:r>
          </w:p>
        </w:tc>
      </w:tr>
      <w:tr>
        <w:tblPrEx>
          <w:tblLayout w:type="fixed"/>
          <w:tblCellMar>
            <w:top w:w="0" w:type="dxa"/>
            <w:left w:w="0" w:type="dxa"/>
            <w:bottom w:w="0" w:type="dxa"/>
            <w:right w:w="0" w:type="dxa"/>
          </w:tblCellMar>
        </w:tblPrEx>
        <w:trPr>
          <w:jc w:val="center"/>
        </w:trPr>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p>
        </w:tc>
        <w:tc>
          <w:tcPr>
            <w:tcW w:w="1123"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p>
        </w:tc>
        <w:tc>
          <w:tcPr>
            <w:tcW w:w="17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投标有效期</w:t>
            </w:r>
          </w:p>
        </w:tc>
        <w:tc>
          <w:tcPr>
            <w:tcW w:w="57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符合第二章“投标人须知”第 3.3.1 项规定</w:t>
            </w:r>
          </w:p>
        </w:tc>
      </w:tr>
      <w:tr>
        <w:tblPrEx>
          <w:tblLayout w:type="fixed"/>
          <w:tblCellMar>
            <w:top w:w="0" w:type="dxa"/>
            <w:left w:w="0" w:type="dxa"/>
            <w:bottom w:w="0" w:type="dxa"/>
            <w:right w:w="0" w:type="dxa"/>
          </w:tblCellMar>
        </w:tblPrEx>
        <w:trPr>
          <w:jc w:val="center"/>
        </w:trPr>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p>
        </w:tc>
        <w:tc>
          <w:tcPr>
            <w:tcW w:w="1123"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p>
        </w:tc>
        <w:tc>
          <w:tcPr>
            <w:tcW w:w="17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投标保证金</w:t>
            </w:r>
          </w:p>
        </w:tc>
        <w:tc>
          <w:tcPr>
            <w:tcW w:w="57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符合第二章“投标人须知”第 3.4.1 项规定</w:t>
            </w:r>
          </w:p>
        </w:tc>
      </w:tr>
      <w:tr>
        <w:tblPrEx>
          <w:tblLayout w:type="fixed"/>
          <w:tblCellMar>
            <w:top w:w="0" w:type="dxa"/>
            <w:left w:w="0" w:type="dxa"/>
            <w:bottom w:w="0" w:type="dxa"/>
            <w:right w:w="0" w:type="dxa"/>
          </w:tblCellMar>
        </w:tblPrEx>
        <w:trPr>
          <w:jc w:val="center"/>
        </w:trPr>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p>
        </w:tc>
        <w:tc>
          <w:tcPr>
            <w:tcW w:w="1123"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p>
        </w:tc>
        <w:tc>
          <w:tcPr>
            <w:tcW w:w="17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权利义务</w:t>
            </w:r>
          </w:p>
        </w:tc>
        <w:tc>
          <w:tcPr>
            <w:tcW w:w="57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符合第四章“合同条款及格式”规定，投标文件不应有招标人不能接受的条件</w:t>
            </w:r>
            <w:r>
              <w:rPr>
                <w:rFonts w:hint="eastAsia" w:ascii="宋体" w:hAnsi="宋体"/>
                <w:kern w:val="0"/>
                <w:highlight w:val="none"/>
              </w:rPr>
              <w:t>（由投标人承诺，承诺书格式详见第</w:t>
            </w:r>
            <w:r>
              <w:rPr>
                <w:rFonts w:hint="eastAsia"/>
                <w:kern w:val="0"/>
                <w:highlight w:val="none"/>
              </w:rPr>
              <w:t>六</w:t>
            </w:r>
            <w:r>
              <w:rPr>
                <w:rFonts w:hint="eastAsia" w:ascii="宋体" w:hAnsi="宋体"/>
                <w:kern w:val="0"/>
                <w:highlight w:val="none"/>
              </w:rPr>
              <w:t>章投标文件格式。）</w:t>
            </w:r>
          </w:p>
        </w:tc>
      </w:tr>
      <w:tr>
        <w:tblPrEx>
          <w:tblLayout w:type="fixed"/>
          <w:tblCellMar>
            <w:top w:w="0" w:type="dxa"/>
            <w:left w:w="0" w:type="dxa"/>
            <w:bottom w:w="0" w:type="dxa"/>
            <w:right w:w="0" w:type="dxa"/>
          </w:tblCellMar>
        </w:tblPrEx>
        <w:trPr>
          <w:jc w:val="center"/>
        </w:trPr>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p>
        </w:tc>
        <w:tc>
          <w:tcPr>
            <w:tcW w:w="1123"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p>
        </w:tc>
        <w:tc>
          <w:tcPr>
            <w:tcW w:w="17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cs="宋体"/>
                <w:kern w:val="0"/>
                <w:szCs w:val="21"/>
                <w:highlight w:val="none"/>
              </w:rPr>
            </w:pPr>
            <w:r>
              <w:rPr>
                <w:rFonts w:hint="eastAsia" w:ascii="宋体" w:hAnsi="宋体" w:cs="宋体"/>
                <w:szCs w:val="21"/>
                <w:highlight w:val="none"/>
              </w:rPr>
              <w:t>实质性要求</w:t>
            </w:r>
          </w:p>
        </w:tc>
        <w:tc>
          <w:tcPr>
            <w:tcW w:w="5730" w:type="dxa"/>
            <w:tcBorders>
              <w:top w:val="single" w:color="000000" w:sz="4" w:space="0"/>
              <w:left w:val="single" w:color="000000" w:sz="4" w:space="0"/>
              <w:bottom w:val="single" w:color="000000" w:sz="4" w:space="0"/>
              <w:right w:val="single" w:color="000000" w:sz="4" w:space="0"/>
            </w:tcBorders>
            <w:vAlign w:val="center"/>
          </w:tcPr>
          <w:p>
            <w:pPr>
              <w:spacing w:after="62" w:afterLines="20"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符合第二章“投标人须知”第1.4.3项规定。</w:t>
            </w:r>
          </w:p>
          <w:p>
            <w:pPr>
              <w:spacing w:after="62" w:afterLines="20"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本次投标不得有串通投标、弄虚作假等其他违反招投标相关法律、法规行为。</w:t>
            </w:r>
          </w:p>
          <w:p>
            <w:pPr>
              <w:spacing w:after="62" w:afterLines="20"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按评标委员会要求澄清、说明或补正。</w:t>
            </w:r>
          </w:p>
        </w:tc>
      </w:tr>
      <w:tr>
        <w:tblPrEx>
          <w:tblLayout w:type="fixed"/>
          <w:tblCellMar>
            <w:top w:w="0" w:type="dxa"/>
            <w:left w:w="0" w:type="dxa"/>
            <w:bottom w:w="0" w:type="dxa"/>
            <w:right w:w="0" w:type="dxa"/>
          </w:tblCellMar>
        </w:tblPrEx>
        <w:trPr>
          <w:jc w:val="center"/>
        </w:trPr>
        <w:tc>
          <w:tcPr>
            <w:tcW w:w="202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条款号</w:t>
            </w:r>
          </w:p>
        </w:tc>
        <w:tc>
          <w:tcPr>
            <w:tcW w:w="17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条款内容</w:t>
            </w:r>
          </w:p>
        </w:tc>
        <w:tc>
          <w:tcPr>
            <w:tcW w:w="57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编列内容</w:t>
            </w:r>
          </w:p>
        </w:tc>
      </w:tr>
      <w:tr>
        <w:tblPrEx>
          <w:tblLayout w:type="fixed"/>
          <w:tblCellMar>
            <w:top w:w="0" w:type="dxa"/>
            <w:left w:w="0" w:type="dxa"/>
            <w:bottom w:w="0" w:type="dxa"/>
            <w:right w:w="0" w:type="dxa"/>
          </w:tblCellMar>
        </w:tblPrEx>
        <w:trPr>
          <w:jc w:val="center"/>
        </w:trPr>
        <w:tc>
          <w:tcPr>
            <w:tcW w:w="202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2.2.1</w:t>
            </w:r>
          </w:p>
        </w:tc>
        <w:tc>
          <w:tcPr>
            <w:tcW w:w="17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分值构成</w:t>
            </w:r>
          </w:p>
          <w:p>
            <w:pPr>
              <w:autoSpaceDE w:val="0"/>
              <w:autoSpaceDN w:val="0"/>
              <w:adjustRightInd w:val="0"/>
              <w:snapToGrid w:val="0"/>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(总分 100 分)</w:t>
            </w:r>
          </w:p>
        </w:tc>
        <w:tc>
          <w:tcPr>
            <w:tcW w:w="57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商务部分：</w:t>
            </w:r>
            <w:r>
              <w:rPr>
                <w:rFonts w:hint="eastAsia" w:ascii="宋体" w:hAnsi="宋体" w:cs="宋体"/>
                <w:kern w:val="0"/>
                <w:szCs w:val="21"/>
                <w:highlight w:val="none"/>
                <w:u w:val="single"/>
              </w:rPr>
              <w:t>25</w:t>
            </w:r>
            <w:r>
              <w:rPr>
                <w:rFonts w:hint="eastAsia" w:ascii="宋体" w:hAnsi="宋体" w:cs="宋体"/>
                <w:kern w:val="0"/>
                <w:szCs w:val="21"/>
                <w:highlight w:val="none"/>
              </w:rPr>
              <w:t>分；</w:t>
            </w:r>
          </w:p>
          <w:p>
            <w:pPr>
              <w:autoSpaceDE w:val="0"/>
              <w:autoSpaceDN w:val="0"/>
              <w:adjustRightInd w:val="0"/>
              <w:snapToGrid w:val="0"/>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技术部分：</w:t>
            </w:r>
            <w:r>
              <w:rPr>
                <w:rFonts w:hint="eastAsia" w:ascii="宋体" w:hAnsi="宋体" w:cs="宋体"/>
                <w:kern w:val="0"/>
                <w:szCs w:val="21"/>
                <w:highlight w:val="none"/>
                <w:u w:val="single"/>
              </w:rPr>
              <w:t>15</w:t>
            </w:r>
            <w:r>
              <w:rPr>
                <w:rFonts w:hint="eastAsia" w:ascii="宋体" w:hAnsi="宋体" w:cs="宋体"/>
                <w:kern w:val="0"/>
                <w:szCs w:val="21"/>
                <w:highlight w:val="none"/>
              </w:rPr>
              <w:t>分；</w:t>
            </w:r>
          </w:p>
          <w:p>
            <w:pPr>
              <w:autoSpaceDE w:val="0"/>
              <w:autoSpaceDN w:val="0"/>
              <w:adjustRightInd w:val="0"/>
              <w:snapToGrid w:val="0"/>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投标报价：</w:t>
            </w:r>
            <w:r>
              <w:rPr>
                <w:rFonts w:hint="eastAsia" w:ascii="宋体" w:hAnsi="宋体" w:cs="宋体"/>
                <w:kern w:val="0"/>
                <w:szCs w:val="21"/>
                <w:highlight w:val="none"/>
                <w:u w:val="single"/>
              </w:rPr>
              <w:t>60</w:t>
            </w:r>
            <w:r>
              <w:rPr>
                <w:rFonts w:hint="eastAsia" w:ascii="宋体" w:hAnsi="宋体" w:cs="宋体"/>
                <w:kern w:val="0"/>
                <w:szCs w:val="21"/>
                <w:highlight w:val="none"/>
              </w:rPr>
              <w:t>分。</w:t>
            </w:r>
          </w:p>
        </w:tc>
      </w:tr>
      <w:tr>
        <w:tblPrEx>
          <w:tblLayout w:type="fixed"/>
          <w:tblCellMar>
            <w:top w:w="0" w:type="dxa"/>
            <w:left w:w="0" w:type="dxa"/>
            <w:bottom w:w="0" w:type="dxa"/>
            <w:right w:w="0" w:type="dxa"/>
          </w:tblCellMar>
        </w:tblPrEx>
        <w:trPr>
          <w:jc w:val="center"/>
        </w:trPr>
        <w:tc>
          <w:tcPr>
            <w:tcW w:w="202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2.2.2</w:t>
            </w:r>
          </w:p>
        </w:tc>
        <w:tc>
          <w:tcPr>
            <w:tcW w:w="17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评标基准价</w:t>
            </w:r>
          </w:p>
          <w:p>
            <w:pPr>
              <w:autoSpaceDE w:val="0"/>
              <w:autoSpaceDN w:val="0"/>
              <w:adjustRightInd w:val="0"/>
              <w:snapToGrid w:val="0"/>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计算方法</w:t>
            </w:r>
          </w:p>
        </w:tc>
        <w:tc>
          <w:tcPr>
            <w:tcW w:w="573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525" w:firstLineChars="250"/>
              <w:rPr>
                <w:rFonts w:hint="eastAsia" w:ascii="宋体" w:hAnsi="宋体" w:eastAsia="宋体" w:cs="宋体"/>
                <w:sz w:val="21"/>
                <w:szCs w:val="21"/>
              </w:rPr>
            </w:pPr>
            <w:r>
              <w:rPr>
                <w:rFonts w:hint="eastAsia" w:ascii="宋体" w:hAnsi="宋体" w:eastAsia="宋体" w:cs="宋体"/>
                <w:sz w:val="21"/>
                <w:szCs w:val="21"/>
              </w:rPr>
              <w:t>所有通过初步评审的投标人的有效投标总报价中去掉六分之一（不能整除的按小数前整数取整，不足六家报价则不去掉）的最低价和相同家数的最高价后的算术平均值作为投标报价的评标基准价。</w:t>
            </w:r>
          </w:p>
          <w:p>
            <w:pPr>
              <w:snapToGrid w:val="0"/>
              <w:spacing w:line="400" w:lineRule="exact"/>
              <w:ind w:firstLine="525" w:firstLineChars="250"/>
              <w:rPr>
                <w:rFonts w:hint="eastAsia" w:ascii="宋体" w:hAnsi="宋体" w:eastAsia="宋体" w:cs="宋体"/>
                <w:sz w:val="21"/>
                <w:szCs w:val="21"/>
              </w:rPr>
            </w:pPr>
            <w:r>
              <w:rPr>
                <w:rFonts w:hint="eastAsia" w:ascii="宋体" w:hAnsi="宋体" w:eastAsia="宋体" w:cs="宋体"/>
                <w:sz w:val="21"/>
                <w:szCs w:val="21"/>
              </w:rPr>
              <w:t>计算结果保留小数点后两位，小数点后第三位“四舍五入”。</w:t>
            </w:r>
          </w:p>
          <w:p>
            <w:pPr>
              <w:pStyle w:val="19"/>
              <w:adjustRightInd w:val="0"/>
              <w:snapToGrid w:val="0"/>
              <w:spacing w:line="400" w:lineRule="exact"/>
              <w:ind w:firstLine="420" w:firstLineChars="200"/>
              <w:jc w:val="both"/>
              <w:rPr>
                <w:rFonts w:hint="eastAsia"/>
                <w:sz w:val="21"/>
                <w:szCs w:val="21"/>
                <w:highlight w:val="none"/>
              </w:rPr>
            </w:pPr>
            <w:r>
              <w:rPr>
                <w:rFonts w:hint="eastAsia" w:ascii="宋体" w:hAnsi="宋体" w:eastAsia="宋体" w:cs="宋体"/>
                <w:sz w:val="21"/>
                <w:szCs w:val="21"/>
              </w:rPr>
              <w:t>在评标基准价计算完成后（除计算错误外），在后续的评审中不得再对其做出调整。</w:t>
            </w:r>
          </w:p>
        </w:tc>
      </w:tr>
      <w:tr>
        <w:tblPrEx>
          <w:tblLayout w:type="fixed"/>
          <w:tblCellMar>
            <w:top w:w="0" w:type="dxa"/>
            <w:left w:w="0" w:type="dxa"/>
            <w:bottom w:w="0" w:type="dxa"/>
            <w:right w:w="0" w:type="dxa"/>
          </w:tblCellMar>
        </w:tblPrEx>
        <w:trPr>
          <w:jc w:val="center"/>
        </w:trPr>
        <w:tc>
          <w:tcPr>
            <w:tcW w:w="202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2.2.3</w:t>
            </w:r>
          </w:p>
        </w:tc>
        <w:tc>
          <w:tcPr>
            <w:tcW w:w="17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投标报价的偏差率 计算公式</w:t>
            </w:r>
          </w:p>
        </w:tc>
        <w:tc>
          <w:tcPr>
            <w:tcW w:w="57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ind w:firstLine="420" w:firstLineChars="200"/>
              <w:rPr>
                <w:rFonts w:hint="eastAsia" w:ascii="宋体" w:hAnsi="宋体" w:cs="宋体"/>
                <w:kern w:val="0"/>
                <w:szCs w:val="21"/>
                <w:highlight w:val="none"/>
              </w:rPr>
            </w:pPr>
            <w:r>
              <w:rPr>
                <w:rFonts w:hint="eastAsia" w:ascii="宋体" w:hAnsi="宋体" w:eastAsia="宋体" w:cs="宋体"/>
                <w:sz w:val="21"/>
                <w:szCs w:val="21"/>
              </w:rPr>
              <w:t>偏差率=1OO％×(投标人报价—评标基准价)／评标基准价</w:t>
            </w:r>
          </w:p>
        </w:tc>
      </w:tr>
      <w:tr>
        <w:tblPrEx>
          <w:tblLayout w:type="fixed"/>
          <w:tblCellMar>
            <w:top w:w="0" w:type="dxa"/>
            <w:left w:w="0" w:type="dxa"/>
            <w:bottom w:w="0" w:type="dxa"/>
            <w:right w:w="0" w:type="dxa"/>
          </w:tblCellMar>
        </w:tblPrEx>
        <w:trPr>
          <w:trHeight w:val="340" w:hRule="atLeast"/>
          <w:jc w:val="center"/>
        </w:trPr>
        <w:tc>
          <w:tcPr>
            <w:tcW w:w="202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条款号</w:t>
            </w:r>
          </w:p>
        </w:tc>
        <w:tc>
          <w:tcPr>
            <w:tcW w:w="17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评分因素</w:t>
            </w:r>
          </w:p>
        </w:tc>
        <w:tc>
          <w:tcPr>
            <w:tcW w:w="57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评分标准</w:t>
            </w:r>
          </w:p>
        </w:tc>
      </w:tr>
      <w:tr>
        <w:tblPrEx>
          <w:tblLayout w:type="fixed"/>
          <w:tblCellMar>
            <w:top w:w="0" w:type="dxa"/>
            <w:left w:w="0" w:type="dxa"/>
            <w:bottom w:w="0" w:type="dxa"/>
            <w:right w:w="0" w:type="dxa"/>
          </w:tblCellMar>
        </w:tblPrEx>
        <w:trPr>
          <w:trHeight w:val="90" w:hRule="atLeast"/>
          <w:jc w:val="center"/>
        </w:trPr>
        <w:tc>
          <w:tcPr>
            <w:tcW w:w="90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2.2.4</w:t>
            </w:r>
          </w:p>
          <w:p>
            <w:pPr>
              <w:autoSpaceDE w:val="0"/>
              <w:autoSpaceDN w:val="0"/>
              <w:adjustRightInd w:val="0"/>
              <w:snapToGrid w:val="0"/>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（1）</w:t>
            </w:r>
          </w:p>
        </w:tc>
        <w:tc>
          <w:tcPr>
            <w:tcW w:w="1123"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商务部分标准（25分）</w:t>
            </w:r>
          </w:p>
        </w:tc>
        <w:tc>
          <w:tcPr>
            <w:tcW w:w="17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企业实力</w:t>
            </w:r>
          </w:p>
          <w:p>
            <w:pPr>
              <w:autoSpaceDE w:val="0"/>
              <w:autoSpaceDN w:val="0"/>
              <w:adjustRightInd w:val="0"/>
              <w:snapToGrid w:val="0"/>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w:t>
            </w:r>
            <w:r>
              <w:rPr>
                <w:rFonts w:hint="eastAsia" w:ascii="宋体" w:hAnsi="宋体" w:cs="宋体"/>
                <w:kern w:val="0"/>
                <w:szCs w:val="21"/>
                <w:highlight w:val="none"/>
                <w:lang w:val="en-US" w:eastAsia="zh-CN"/>
              </w:rPr>
              <w:t>8</w:t>
            </w:r>
            <w:r>
              <w:rPr>
                <w:rFonts w:hint="eastAsia" w:ascii="宋体" w:hAnsi="宋体" w:cs="宋体"/>
                <w:kern w:val="0"/>
                <w:szCs w:val="21"/>
                <w:highlight w:val="none"/>
              </w:rPr>
              <w:t>分）</w:t>
            </w:r>
          </w:p>
        </w:tc>
        <w:tc>
          <w:tcPr>
            <w:tcW w:w="5730"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widowControl w:val="0"/>
              <w:kinsoku/>
              <w:wordWrap/>
              <w:overflowPunct/>
              <w:topLinePunct w:val="0"/>
              <w:bidi w:val="0"/>
              <w:adjustRightInd w:val="0"/>
              <w:snapToGrid w:val="0"/>
              <w:spacing w:line="380" w:lineRule="exact"/>
              <w:ind w:left="0" w:leftChars="0" w:right="0" w:rightChars="0" w:firstLine="420" w:firstLineChars="200"/>
              <w:jc w:val="left"/>
              <w:textAlignment w:val="auto"/>
              <w:outlineLvl w:val="9"/>
              <w:rPr>
                <w:rFonts w:hint="eastAsia"/>
                <w:sz w:val="21"/>
                <w:szCs w:val="21"/>
                <w:highlight w:val="none"/>
                <w:lang w:val="en-US"/>
              </w:rPr>
            </w:pPr>
            <w:r>
              <w:rPr>
                <w:rFonts w:hint="eastAsia"/>
                <w:sz w:val="21"/>
                <w:szCs w:val="21"/>
                <w:highlight w:val="none"/>
                <w:lang w:val="en-US"/>
              </w:rPr>
              <w:t>1.</w:t>
            </w:r>
            <w:r>
              <w:rPr>
                <w:rFonts w:hint="eastAsia"/>
                <w:sz w:val="21"/>
                <w:szCs w:val="21"/>
                <w:highlight w:val="none"/>
                <w:lang w:val="en-US" w:eastAsia="zh-CN"/>
              </w:rPr>
              <w:t>具有有效期内</w:t>
            </w:r>
            <w:r>
              <w:rPr>
                <w:rFonts w:hint="eastAsia"/>
                <w:sz w:val="21"/>
                <w:szCs w:val="21"/>
                <w:highlight w:val="none"/>
                <w:lang w:val="en-US"/>
              </w:rPr>
              <w:t>中国水利水电勘测设计协会“水利建设市场主体信用评价”公告等级为设计类AAA级的得4分，为设计类AA级的得2.5分，为设计类A级的得1分；本项最多得4分。</w:t>
            </w:r>
          </w:p>
          <w:p>
            <w:pPr>
              <w:pStyle w:val="19"/>
              <w:keepNext w:val="0"/>
              <w:keepLines w:val="0"/>
              <w:pageBreakBefore w:val="0"/>
              <w:widowControl w:val="0"/>
              <w:kinsoku/>
              <w:wordWrap/>
              <w:overflowPunct/>
              <w:topLinePunct w:val="0"/>
              <w:bidi w:val="0"/>
              <w:adjustRightInd w:val="0"/>
              <w:snapToGrid w:val="0"/>
              <w:spacing w:line="380" w:lineRule="exact"/>
              <w:ind w:left="0" w:leftChars="0" w:right="0" w:rightChars="0" w:firstLine="420" w:firstLineChars="200"/>
              <w:jc w:val="left"/>
              <w:textAlignment w:val="auto"/>
              <w:outlineLvl w:val="9"/>
              <w:rPr>
                <w:rFonts w:hint="eastAsia"/>
                <w:sz w:val="21"/>
                <w:szCs w:val="21"/>
                <w:highlight w:val="none"/>
                <w:lang w:val="en-US"/>
              </w:rPr>
            </w:pPr>
            <w:r>
              <w:rPr>
                <w:rFonts w:hint="eastAsia"/>
                <w:sz w:val="21"/>
                <w:szCs w:val="21"/>
                <w:highlight w:val="none"/>
                <w:lang w:val="en-US" w:eastAsia="zh-CN"/>
              </w:rPr>
              <w:t>2</w:t>
            </w:r>
            <w:r>
              <w:rPr>
                <w:rFonts w:hint="eastAsia"/>
                <w:sz w:val="21"/>
                <w:szCs w:val="21"/>
                <w:highlight w:val="none"/>
                <w:lang w:val="en-US"/>
              </w:rPr>
              <w:t>.具有</w:t>
            </w:r>
            <w:r>
              <w:rPr>
                <w:rFonts w:hint="eastAsia"/>
                <w:sz w:val="21"/>
                <w:szCs w:val="21"/>
                <w:highlight w:val="none"/>
                <w:lang w:val="en-US" w:eastAsia="zh-CN"/>
              </w:rPr>
              <w:t>有效期内中国水利水电勘测设计协会颁发的</w:t>
            </w:r>
            <w:r>
              <w:rPr>
                <w:rFonts w:hint="eastAsia"/>
                <w:sz w:val="21"/>
                <w:szCs w:val="21"/>
                <w:highlight w:val="none"/>
                <w:lang w:val="en-US"/>
              </w:rPr>
              <w:t>水文</w:t>
            </w:r>
            <w:r>
              <w:rPr>
                <w:rFonts w:hint="eastAsia"/>
                <w:sz w:val="21"/>
                <w:szCs w:val="21"/>
                <w:highlight w:val="none"/>
                <w:lang w:val="en-US" w:eastAsia="zh-CN"/>
              </w:rPr>
              <w:t>、</w:t>
            </w:r>
            <w:r>
              <w:rPr>
                <w:rFonts w:hint="eastAsia"/>
                <w:sz w:val="21"/>
                <w:szCs w:val="21"/>
                <w:highlight w:val="none"/>
                <w:lang w:val="en-US"/>
              </w:rPr>
              <w:t>水资源调查评价</w:t>
            </w:r>
            <w:r>
              <w:rPr>
                <w:rFonts w:hint="eastAsia"/>
                <w:sz w:val="21"/>
                <w:szCs w:val="21"/>
                <w:highlight w:val="none"/>
                <w:lang w:val="en-US" w:eastAsia="zh-CN"/>
              </w:rPr>
              <w:t>单位资质证书，最高为</w:t>
            </w:r>
            <w:r>
              <w:rPr>
                <w:rFonts w:hint="eastAsia"/>
                <w:sz w:val="21"/>
                <w:szCs w:val="21"/>
                <w:highlight w:val="none"/>
                <w:lang w:val="en-US"/>
              </w:rPr>
              <w:t>甲级资质</w:t>
            </w:r>
            <w:r>
              <w:rPr>
                <w:rFonts w:hint="eastAsia"/>
                <w:sz w:val="21"/>
                <w:szCs w:val="21"/>
                <w:highlight w:val="none"/>
                <w:lang w:val="en-US" w:eastAsia="zh-CN"/>
              </w:rPr>
              <w:t>的</w:t>
            </w:r>
            <w:r>
              <w:rPr>
                <w:rFonts w:hint="eastAsia"/>
                <w:sz w:val="21"/>
                <w:szCs w:val="21"/>
                <w:highlight w:val="none"/>
                <w:lang w:val="en-US"/>
              </w:rPr>
              <w:t>得</w:t>
            </w:r>
            <w:r>
              <w:rPr>
                <w:rFonts w:hint="eastAsia"/>
                <w:sz w:val="21"/>
                <w:szCs w:val="21"/>
                <w:highlight w:val="none"/>
                <w:lang w:val="en-US" w:eastAsia="zh-CN"/>
              </w:rPr>
              <w:t>4</w:t>
            </w:r>
            <w:r>
              <w:rPr>
                <w:rFonts w:hint="eastAsia"/>
                <w:sz w:val="21"/>
                <w:szCs w:val="21"/>
                <w:highlight w:val="none"/>
                <w:lang w:val="en-US"/>
              </w:rPr>
              <w:t>分，</w:t>
            </w:r>
            <w:r>
              <w:rPr>
                <w:rFonts w:hint="eastAsia"/>
                <w:sz w:val="21"/>
                <w:szCs w:val="21"/>
                <w:highlight w:val="none"/>
                <w:lang w:val="en-US" w:eastAsia="zh-CN"/>
              </w:rPr>
              <w:t>最高为</w:t>
            </w:r>
            <w:r>
              <w:rPr>
                <w:rFonts w:hint="eastAsia"/>
                <w:sz w:val="21"/>
                <w:szCs w:val="21"/>
                <w:highlight w:val="none"/>
                <w:lang w:val="en-US"/>
              </w:rPr>
              <w:t>乙级资质</w:t>
            </w:r>
            <w:r>
              <w:rPr>
                <w:rFonts w:hint="eastAsia"/>
                <w:sz w:val="21"/>
                <w:szCs w:val="21"/>
                <w:highlight w:val="none"/>
                <w:lang w:val="en-US" w:eastAsia="zh-CN"/>
              </w:rPr>
              <w:t>的</w:t>
            </w:r>
            <w:r>
              <w:rPr>
                <w:rFonts w:hint="eastAsia"/>
                <w:sz w:val="21"/>
                <w:szCs w:val="21"/>
                <w:highlight w:val="none"/>
                <w:lang w:val="en-US"/>
              </w:rPr>
              <w:t>得</w:t>
            </w:r>
            <w:r>
              <w:rPr>
                <w:rFonts w:hint="eastAsia"/>
                <w:sz w:val="21"/>
                <w:szCs w:val="21"/>
                <w:highlight w:val="none"/>
                <w:lang w:val="en-US" w:eastAsia="zh-CN"/>
              </w:rPr>
              <w:t>2</w:t>
            </w:r>
            <w:r>
              <w:rPr>
                <w:rFonts w:hint="eastAsia"/>
                <w:sz w:val="21"/>
                <w:szCs w:val="21"/>
                <w:highlight w:val="none"/>
                <w:lang w:val="en-US"/>
              </w:rPr>
              <w:t>分。本项最多得</w:t>
            </w:r>
            <w:r>
              <w:rPr>
                <w:rFonts w:hint="eastAsia"/>
                <w:sz w:val="21"/>
                <w:szCs w:val="21"/>
                <w:highlight w:val="none"/>
                <w:lang w:val="en-US" w:eastAsia="zh-CN"/>
              </w:rPr>
              <w:t>4</w:t>
            </w:r>
            <w:r>
              <w:rPr>
                <w:rFonts w:hint="eastAsia"/>
                <w:sz w:val="21"/>
                <w:szCs w:val="21"/>
                <w:highlight w:val="none"/>
                <w:lang w:val="en-US"/>
              </w:rPr>
              <w:t>分。</w:t>
            </w:r>
          </w:p>
          <w:p>
            <w:pPr>
              <w:pStyle w:val="19"/>
              <w:keepNext w:val="0"/>
              <w:keepLines w:val="0"/>
              <w:pageBreakBefore w:val="0"/>
              <w:widowControl w:val="0"/>
              <w:kinsoku/>
              <w:wordWrap/>
              <w:overflowPunct/>
              <w:topLinePunct w:val="0"/>
              <w:bidi w:val="0"/>
              <w:adjustRightInd w:val="0"/>
              <w:snapToGrid w:val="0"/>
              <w:spacing w:line="380" w:lineRule="exact"/>
              <w:ind w:left="0" w:leftChars="0" w:right="0" w:rightChars="0" w:firstLine="422" w:firstLineChars="200"/>
              <w:jc w:val="left"/>
              <w:textAlignment w:val="auto"/>
              <w:outlineLvl w:val="9"/>
              <w:rPr>
                <w:rFonts w:hint="eastAsia"/>
                <w:sz w:val="21"/>
                <w:szCs w:val="21"/>
                <w:highlight w:val="none"/>
                <w:lang w:val="en-US"/>
              </w:rPr>
            </w:pPr>
            <w:r>
              <w:rPr>
                <w:rFonts w:hint="eastAsia"/>
                <w:b/>
                <w:bCs/>
                <w:sz w:val="21"/>
                <w:szCs w:val="21"/>
                <w:highlight w:val="none"/>
                <w:lang w:val="en-US"/>
              </w:rPr>
              <w:t>提供：上述证明资料复印件。</w:t>
            </w:r>
          </w:p>
        </w:tc>
      </w:tr>
      <w:tr>
        <w:tblPrEx>
          <w:tblLayout w:type="fixed"/>
          <w:tblCellMar>
            <w:top w:w="0" w:type="dxa"/>
            <w:left w:w="0" w:type="dxa"/>
            <w:bottom w:w="0" w:type="dxa"/>
            <w:right w:w="0" w:type="dxa"/>
          </w:tblCellMar>
        </w:tblPrEx>
        <w:trPr>
          <w:trHeight w:val="445" w:hRule="atLeast"/>
          <w:jc w:val="center"/>
        </w:trPr>
        <w:tc>
          <w:tcPr>
            <w:tcW w:w="900" w:type="dxa"/>
            <w:vMerge w:val="continue"/>
            <w:tcBorders>
              <w:left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p>
        </w:tc>
        <w:tc>
          <w:tcPr>
            <w:tcW w:w="1123" w:type="dxa"/>
            <w:vMerge w:val="continue"/>
            <w:tcBorders>
              <w:left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p>
        </w:tc>
        <w:tc>
          <w:tcPr>
            <w:tcW w:w="17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企业业绩</w:t>
            </w:r>
          </w:p>
          <w:p>
            <w:pPr>
              <w:autoSpaceDE w:val="0"/>
              <w:autoSpaceDN w:val="0"/>
              <w:adjustRightInd w:val="0"/>
              <w:snapToGrid w:val="0"/>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w:t>
            </w:r>
            <w:r>
              <w:rPr>
                <w:rFonts w:hint="default" w:ascii="宋体" w:hAnsi="宋体" w:cs="宋体"/>
                <w:kern w:val="0"/>
                <w:szCs w:val="21"/>
                <w:highlight w:val="none"/>
                <w:lang w:val="en-US"/>
              </w:rPr>
              <w:t>1</w:t>
            </w:r>
            <w:r>
              <w:rPr>
                <w:rFonts w:hint="default" w:ascii="宋体" w:hAnsi="宋体" w:cs="宋体"/>
                <w:kern w:val="0"/>
                <w:szCs w:val="21"/>
                <w:highlight w:val="none"/>
                <w:lang w:val="en-US" w:eastAsia="zh-CN"/>
              </w:rPr>
              <w:t>2</w:t>
            </w:r>
            <w:r>
              <w:rPr>
                <w:rFonts w:hint="eastAsia" w:ascii="宋体" w:hAnsi="宋体" w:cs="宋体"/>
                <w:kern w:val="0"/>
                <w:szCs w:val="21"/>
                <w:highlight w:val="none"/>
              </w:rPr>
              <w:t>分）</w:t>
            </w:r>
          </w:p>
        </w:tc>
        <w:tc>
          <w:tcPr>
            <w:tcW w:w="5730"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widowControl w:val="0"/>
              <w:kinsoku/>
              <w:wordWrap/>
              <w:overflowPunct/>
              <w:topLinePunct w:val="0"/>
              <w:bidi w:val="0"/>
              <w:adjustRightInd w:val="0"/>
              <w:snapToGrid w:val="0"/>
              <w:spacing w:line="380" w:lineRule="exact"/>
              <w:ind w:left="0" w:leftChars="0" w:right="0" w:rightChars="0" w:firstLine="420" w:firstLineChars="200"/>
              <w:jc w:val="left"/>
              <w:textAlignment w:val="auto"/>
              <w:outlineLvl w:val="9"/>
              <w:rPr>
                <w:rFonts w:hint="eastAsia"/>
                <w:sz w:val="21"/>
                <w:szCs w:val="21"/>
                <w:highlight w:val="none"/>
                <w:lang w:val="en-US"/>
              </w:rPr>
            </w:pPr>
            <w:r>
              <w:rPr>
                <w:rFonts w:hint="eastAsia"/>
                <w:sz w:val="21"/>
                <w:szCs w:val="21"/>
                <w:highlight w:val="none"/>
                <w:lang w:val="en-US"/>
              </w:rPr>
              <w:t>2017年1月1日至</w:t>
            </w:r>
            <w:r>
              <w:rPr>
                <w:rFonts w:hint="eastAsia"/>
                <w:sz w:val="21"/>
                <w:szCs w:val="21"/>
                <w:highlight w:val="none"/>
                <w:lang w:val="en-US" w:eastAsia="zh-CN"/>
              </w:rPr>
              <w:t>投标</w:t>
            </w:r>
            <w:r>
              <w:rPr>
                <w:rFonts w:hint="eastAsia"/>
                <w:sz w:val="21"/>
                <w:szCs w:val="21"/>
                <w:highlight w:val="none"/>
                <w:lang w:val="en-US"/>
              </w:rPr>
              <w:t>截止日止（以合同签订时间为准），投标人</w:t>
            </w:r>
            <w:r>
              <w:rPr>
                <w:rFonts w:hint="eastAsia"/>
                <w:sz w:val="21"/>
                <w:szCs w:val="21"/>
                <w:highlight w:val="none"/>
                <w:lang w:val="en-US" w:eastAsia="zh-CN"/>
              </w:rPr>
              <w:t>每</w:t>
            </w:r>
            <w:r>
              <w:rPr>
                <w:rFonts w:hint="eastAsia"/>
                <w:sz w:val="21"/>
                <w:szCs w:val="21"/>
                <w:highlight w:val="none"/>
                <w:lang w:val="en-US"/>
              </w:rPr>
              <w:t>具有</w:t>
            </w:r>
            <w:r>
              <w:rPr>
                <w:rFonts w:hint="eastAsia"/>
                <w:sz w:val="21"/>
                <w:szCs w:val="21"/>
                <w:highlight w:val="none"/>
                <w:lang w:val="en-US" w:eastAsia="zh-CN"/>
              </w:rPr>
              <w:t>一个涉及6条（及以上）河流</w:t>
            </w:r>
            <w:r>
              <w:rPr>
                <w:rFonts w:hint="eastAsia"/>
                <w:sz w:val="21"/>
                <w:szCs w:val="21"/>
                <w:highlight w:val="none"/>
                <w:lang w:val="en-US"/>
              </w:rPr>
              <w:t>的</w:t>
            </w:r>
            <w:r>
              <w:rPr>
                <w:rFonts w:hint="eastAsia"/>
                <w:sz w:val="21"/>
                <w:szCs w:val="21"/>
                <w:highlight w:val="none"/>
                <w:lang w:val="en-US" w:eastAsia="zh-CN"/>
              </w:rPr>
              <w:t>防洪专项研究</w:t>
            </w:r>
            <w:r>
              <w:rPr>
                <w:rFonts w:hint="eastAsia"/>
                <w:sz w:val="21"/>
                <w:szCs w:val="21"/>
                <w:highlight w:val="none"/>
                <w:lang w:val="en-US"/>
              </w:rPr>
              <w:t>业绩</w:t>
            </w:r>
            <w:r>
              <w:rPr>
                <w:rFonts w:hint="eastAsia"/>
                <w:sz w:val="21"/>
                <w:szCs w:val="21"/>
                <w:highlight w:val="none"/>
                <w:lang w:val="en-US" w:eastAsia="zh-CN"/>
              </w:rPr>
              <w:t>，或涉及6条（及以上）河流</w:t>
            </w:r>
            <w:r>
              <w:rPr>
                <w:rFonts w:hint="eastAsia"/>
                <w:sz w:val="21"/>
                <w:szCs w:val="21"/>
                <w:highlight w:val="none"/>
                <w:lang w:val="en-US"/>
              </w:rPr>
              <w:t>的水系规划业绩</w:t>
            </w:r>
            <w:r>
              <w:rPr>
                <w:rFonts w:hint="eastAsia"/>
                <w:sz w:val="21"/>
                <w:szCs w:val="21"/>
                <w:highlight w:val="none"/>
                <w:lang w:val="en-US" w:eastAsia="zh-CN"/>
              </w:rPr>
              <w:t>，</w:t>
            </w:r>
            <w:r>
              <w:rPr>
                <w:rFonts w:hint="eastAsia"/>
                <w:sz w:val="21"/>
                <w:szCs w:val="21"/>
                <w:highlight w:val="none"/>
                <w:lang w:val="en-US"/>
              </w:rPr>
              <w:t>或</w:t>
            </w:r>
            <w:r>
              <w:rPr>
                <w:rFonts w:hint="eastAsia"/>
                <w:sz w:val="21"/>
                <w:szCs w:val="21"/>
                <w:highlight w:val="none"/>
                <w:lang w:val="en-US" w:eastAsia="zh-CN"/>
              </w:rPr>
              <w:t>涉及6条（及以上）河流</w:t>
            </w:r>
            <w:r>
              <w:rPr>
                <w:rFonts w:hint="eastAsia"/>
                <w:sz w:val="21"/>
                <w:szCs w:val="21"/>
                <w:highlight w:val="none"/>
                <w:lang w:val="en-US"/>
              </w:rPr>
              <w:t>的洪水影响评价区域论证业绩</w:t>
            </w:r>
            <w:r>
              <w:rPr>
                <w:rFonts w:hint="eastAsia"/>
                <w:sz w:val="21"/>
                <w:szCs w:val="21"/>
                <w:highlight w:val="none"/>
                <w:lang w:val="en-US" w:eastAsia="zh-CN"/>
              </w:rPr>
              <w:t>，</w:t>
            </w:r>
            <w:r>
              <w:rPr>
                <w:rFonts w:hint="eastAsia"/>
                <w:sz w:val="21"/>
                <w:szCs w:val="21"/>
                <w:highlight w:val="none"/>
                <w:lang w:val="en-US"/>
              </w:rPr>
              <w:t>得</w:t>
            </w:r>
            <w:r>
              <w:rPr>
                <w:rFonts w:hint="eastAsia"/>
                <w:sz w:val="21"/>
                <w:szCs w:val="21"/>
                <w:highlight w:val="none"/>
                <w:lang w:val="en-US" w:eastAsia="zh-CN"/>
              </w:rPr>
              <w:t>4</w:t>
            </w:r>
            <w:r>
              <w:rPr>
                <w:rFonts w:hint="eastAsia"/>
                <w:sz w:val="21"/>
                <w:szCs w:val="21"/>
                <w:highlight w:val="none"/>
                <w:lang w:val="en-US"/>
              </w:rPr>
              <w:t>分，最多得</w:t>
            </w:r>
            <w:r>
              <w:rPr>
                <w:rFonts w:hint="eastAsia"/>
                <w:sz w:val="21"/>
                <w:szCs w:val="21"/>
                <w:highlight w:val="none"/>
                <w:lang w:val="en-US" w:eastAsia="zh-CN"/>
              </w:rPr>
              <w:t>12</w:t>
            </w:r>
            <w:r>
              <w:rPr>
                <w:rFonts w:hint="eastAsia"/>
                <w:sz w:val="21"/>
                <w:szCs w:val="21"/>
                <w:highlight w:val="none"/>
                <w:lang w:val="en-US"/>
              </w:rPr>
              <w:t>分。</w:t>
            </w:r>
          </w:p>
          <w:p>
            <w:pPr>
              <w:keepNext w:val="0"/>
              <w:keepLines w:val="0"/>
              <w:pageBreakBefore w:val="0"/>
              <w:widowControl w:val="0"/>
              <w:kinsoku/>
              <w:wordWrap/>
              <w:overflowPunct/>
              <w:topLinePunct w:val="0"/>
              <w:bidi w:val="0"/>
              <w:adjustRightInd w:val="0"/>
              <w:snapToGrid w:val="0"/>
              <w:spacing w:line="380" w:lineRule="exact"/>
              <w:ind w:left="0" w:leftChars="0" w:right="0" w:rightChars="0" w:firstLine="422" w:firstLineChars="200"/>
              <w:jc w:val="left"/>
              <w:textAlignment w:val="auto"/>
              <w:outlineLvl w:val="9"/>
              <w:rPr>
                <w:rFonts w:hint="eastAsia"/>
                <w:b/>
                <w:bCs/>
                <w:sz w:val="21"/>
                <w:szCs w:val="21"/>
                <w:highlight w:val="none"/>
                <w:lang w:val="en-US"/>
              </w:rPr>
            </w:pPr>
            <w:r>
              <w:rPr>
                <w:rFonts w:hint="eastAsia"/>
                <w:b/>
                <w:bCs/>
                <w:sz w:val="21"/>
                <w:szCs w:val="21"/>
                <w:highlight w:val="none"/>
                <w:lang w:val="en-US"/>
              </w:rPr>
              <w:t>注：以上业绩提供合同复印件，若合同不能反应项目特征，则须补充提供该项目业主盖章的证明文件复印件</w:t>
            </w:r>
            <w:r>
              <w:rPr>
                <w:rFonts w:hint="eastAsia"/>
                <w:b/>
                <w:bCs/>
                <w:sz w:val="21"/>
                <w:szCs w:val="21"/>
                <w:highlight w:val="none"/>
                <w:lang w:val="en-US" w:eastAsia="zh-CN"/>
              </w:rPr>
              <w:t>，或专家评审意见复印件，</w:t>
            </w:r>
            <w:r>
              <w:rPr>
                <w:rFonts w:hint="eastAsia"/>
                <w:b/>
                <w:bCs/>
                <w:sz w:val="21"/>
                <w:szCs w:val="21"/>
                <w:highlight w:val="none"/>
                <w:lang w:val="en-US"/>
              </w:rPr>
              <w:t>或</w:t>
            </w:r>
            <w:r>
              <w:rPr>
                <w:rFonts w:hint="eastAsia"/>
                <w:b/>
                <w:bCs/>
                <w:sz w:val="21"/>
                <w:szCs w:val="21"/>
                <w:highlight w:val="none"/>
                <w:lang w:val="en-US" w:eastAsia="zh-CN"/>
              </w:rPr>
              <w:t>行业</w:t>
            </w:r>
            <w:r>
              <w:rPr>
                <w:rFonts w:hint="eastAsia"/>
                <w:b/>
                <w:bCs/>
                <w:sz w:val="21"/>
                <w:szCs w:val="21"/>
                <w:highlight w:val="none"/>
                <w:lang w:val="en-US"/>
              </w:rPr>
              <w:t>行政主管部门出具的成果批复文件复印件。</w:t>
            </w:r>
          </w:p>
        </w:tc>
      </w:tr>
      <w:tr>
        <w:tblPrEx>
          <w:tblLayout w:type="fixed"/>
          <w:tblCellMar>
            <w:top w:w="0" w:type="dxa"/>
            <w:left w:w="0" w:type="dxa"/>
            <w:bottom w:w="0" w:type="dxa"/>
            <w:right w:w="0" w:type="dxa"/>
          </w:tblCellMar>
        </w:tblPrEx>
        <w:trPr>
          <w:jc w:val="center"/>
        </w:trPr>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p>
        </w:tc>
        <w:tc>
          <w:tcPr>
            <w:tcW w:w="1123"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p>
        </w:tc>
        <w:tc>
          <w:tcPr>
            <w:tcW w:w="17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项目人力资源配置（</w:t>
            </w:r>
            <w:r>
              <w:rPr>
                <w:rFonts w:hint="eastAsia" w:ascii="宋体" w:hAnsi="宋体" w:cs="宋体"/>
                <w:kern w:val="0"/>
                <w:szCs w:val="21"/>
                <w:highlight w:val="none"/>
                <w:lang w:val="en-US" w:eastAsia="zh-CN"/>
              </w:rPr>
              <w:t>5</w:t>
            </w:r>
            <w:r>
              <w:rPr>
                <w:rFonts w:hint="eastAsia" w:ascii="宋体" w:hAnsi="宋体" w:cs="宋体"/>
                <w:kern w:val="0"/>
                <w:szCs w:val="21"/>
                <w:highlight w:val="none"/>
              </w:rPr>
              <w:t>分）</w:t>
            </w:r>
          </w:p>
        </w:tc>
        <w:tc>
          <w:tcPr>
            <w:tcW w:w="5730" w:type="dxa"/>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widowControl w:val="0"/>
              <w:kinsoku/>
              <w:wordWrap/>
              <w:overflowPunct/>
              <w:topLinePunct w:val="0"/>
              <w:bidi w:val="0"/>
              <w:adjustRightInd w:val="0"/>
              <w:snapToGrid w:val="0"/>
              <w:spacing w:line="380" w:lineRule="exact"/>
              <w:ind w:left="0" w:leftChars="0" w:right="0" w:rightChars="0" w:firstLine="420" w:firstLineChars="200"/>
              <w:jc w:val="both"/>
              <w:textAlignment w:val="auto"/>
              <w:outlineLvl w:val="9"/>
              <w:rPr>
                <w:rFonts w:hint="eastAsia"/>
                <w:sz w:val="21"/>
                <w:szCs w:val="21"/>
                <w:highlight w:val="none"/>
                <w:lang w:val="en-US"/>
              </w:rPr>
            </w:pPr>
            <w:r>
              <w:rPr>
                <w:rFonts w:hint="eastAsia"/>
                <w:sz w:val="21"/>
                <w:szCs w:val="21"/>
                <w:highlight w:val="none"/>
                <w:lang w:val="en-US"/>
              </w:rPr>
              <w:t>1.拟派项目负责人或技术负责人具有注册土木工程师（水利水电工程规划）的得</w:t>
            </w:r>
            <w:r>
              <w:rPr>
                <w:rFonts w:hint="eastAsia"/>
                <w:sz w:val="21"/>
                <w:szCs w:val="21"/>
                <w:highlight w:val="none"/>
                <w:lang w:val="en-US" w:eastAsia="zh-CN"/>
              </w:rPr>
              <w:t>1.5</w:t>
            </w:r>
            <w:r>
              <w:rPr>
                <w:rFonts w:hint="eastAsia"/>
                <w:sz w:val="21"/>
                <w:szCs w:val="21"/>
                <w:highlight w:val="none"/>
                <w:lang w:val="en-US"/>
              </w:rPr>
              <w:t>分。本项最多得</w:t>
            </w:r>
            <w:r>
              <w:rPr>
                <w:rFonts w:hint="default"/>
                <w:sz w:val="21"/>
                <w:szCs w:val="21"/>
                <w:highlight w:val="none"/>
                <w:lang w:val="en-US"/>
              </w:rPr>
              <w:t>3</w:t>
            </w:r>
            <w:r>
              <w:rPr>
                <w:rFonts w:hint="eastAsia"/>
                <w:sz w:val="21"/>
                <w:szCs w:val="21"/>
                <w:highlight w:val="none"/>
                <w:lang w:val="en-US"/>
              </w:rPr>
              <w:t>分。</w:t>
            </w:r>
          </w:p>
          <w:p>
            <w:pPr>
              <w:pStyle w:val="19"/>
              <w:keepNext w:val="0"/>
              <w:keepLines w:val="0"/>
              <w:pageBreakBefore w:val="0"/>
              <w:widowControl w:val="0"/>
              <w:kinsoku/>
              <w:wordWrap/>
              <w:overflowPunct/>
              <w:topLinePunct w:val="0"/>
              <w:bidi w:val="0"/>
              <w:adjustRightInd w:val="0"/>
              <w:snapToGrid w:val="0"/>
              <w:spacing w:line="380" w:lineRule="exact"/>
              <w:ind w:left="0" w:leftChars="0" w:right="0" w:rightChars="0" w:firstLine="420" w:firstLineChars="200"/>
              <w:jc w:val="both"/>
              <w:textAlignment w:val="auto"/>
              <w:outlineLvl w:val="9"/>
              <w:rPr>
                <w:rFonts w:hint="eastAsia" w:eastAsia="宋体"/>
                <w:b/>
                <w:szCs w:val="21"/>
                <w:highlight w:val="none"/>
                <w:lang w:val="en-US" w:eastAsia="zh-CN"/>
              </w:rPr>
            </w:pPr>
            <w:r>
              <w:rPr>
                <w:rFonts w:hint="eastAsia"/>
                <w:sz w:val="21"/>
                <w:szCs w:val="21"/>
                <w:highlight w:val="none"/>
                <w:lang w:val="en-US"/>
              </w:rPr>
              <w:t>2.拟派专业技术人员（不含项目负责人、技术负责人）各专业配置合理，分别具有水工类、水文类、地质类、水利规划专业中级及以上职称的各1人，得</w:t>
            </w:r>
            <w:r>
              <w:rPr>
                <w:rFonts w:hint="eastAsia"/>
                <w:sz w:val="21"/>
                <w:szCs w:val="21"/>
                <w:highlight w:val="none"/>
                <w:lang w:val="en-US" w:eastAsia="zh-CN"/>
              </w:rPr>
              <w:t>2</w:t>
            </w:r>
            <w:r>
              <w:rPr>
                <w:rFonts w:hint="eastAsia"/>
                <w:sz w:val="21"/>
                <w:szCs w:val="21"/>
                <w:highlight w:val="none"/>
                <w:lang w:val="en-US"/>
              </w:rPr>
              <w:t>分</w:t>
            </w:r>
            <w:r>
              <w:rPr>
                <w:rFonts w:hint="eastAsia"/>
                <w:sz w:val="21"/>
                <w:szCs w:val="21"/>
                <w:highlight w:val="none"/>
                <w:lang w:val="en-US" w:eastAsia="zh-CN"/>
              </w:rPr>
              <w:t>；具有其中3</w:t>
            </w:r>
            <w:r>
              <w:rPr>
                <w:rFonts w:hint="eastAsia"/>
                <w:sz w:val="21"/>
                <w:szCs w:val="21"/>
                <w:highlight w:val="none"/>
                <w:lang w:val="en-US"/>
              </w:rPr>
              <w:t>种专业的中级及以上职称人员，</w:t>
            </w:r>
            <w:r>
              <w:rPr>
                <w:rFonts w:hint="eastAsia"/>
                <w:sz w:val="21"/>
                <w:szCs w:val="21"/>
                <w:highlight w:val="none"/>
                <w:lang w:val="en-US" w:eastAsia="zh-CN"/>
              </w:rPr>
              <w:t>得1.5</w:t>
            </w:r>
            <w:r>
              <w:rPr>
                <w:rFonts w:hint="eastAsia"/>
                <w:sz w:val="21"/>
                <w:szCs w:val="21"/>
                <w:highlight w:val="none"/>
                <w:lang w:val="en-US"/>
              </w:rPr>
              <w:t>分</w:t>
            </w:r>
            <w:r>
              <w:rPr>
                <w:rFonts w:hint="eastAsia"/>
                <w:sz w:val="21"/>
                <w:szCs w:val="21"/>
                <w:highlight w:val="none"/>
                <w:lang w:val="en-US" w:eastAsia="zh-CN"/>
              </w:rPr>
              <w:t>；具有其中2</w:t>
            </w:r>
            <w:r>
              <w:rPr>
                <w:rFonts w:hint="eastAsia"/>
                <w:sz w:val="21"/>
                <w:szCs w:val="21"/>
                <w:highlight w:val="none"/>
                <w:lang w:val="en-US"/>
              </w:rPr>
              <w:t>种专业的中级及以上职称人员，</w:t>
            </w:r>
            <w:r>
              <w:rPr>
                <w:rFonts w:hint="eastAsia"/>
                <w:sz w:val="21"/>
                <w:szCs w:val="21"/>
                <w:highlight w:val="none"/>
                <w:lang w:val="en-US" w:eastAsia="zh-CN"/>
              </w:rPr>
              <w:t>得1</w:t>
            </w:r>
            <w:r>
              <w:rPr>
                <w:rFonts w:hint="eastAsia"/>
                <w:sz w:val="21"/>
                <w:szCs w:val="21"/>
                <w:highlight w:val="none"/>
                <w:lang w:val="en-US"/>
              </w:rPr>
              <w:t>分</w:t>
            </w:r>
            <w:r>
              <w:rPr>
                <w:rFonts w:hint="eastAsia"/>
                <w:sz w:val="21"/>
                <w:szCs w:val="21"/>
                <w:highlight w:val="none"/>
                <w:lang w:val="en-US" w:eastAsia="zh-CN"/>
              </w:rPr>
              <w:t>；具有其中1</w:t>
            </w:r>
            <w:r>
              <w:rPr>
                <w:rFonts w:hint="eastAsia"/>
                <w:sz w:val="21"/>
                <w:szCs w:val="21"/>
                <w:highlight w:val="none"/>
                <w:lang w:val="en-US"/>
              </w:rPr>
              <w:t>种专业的中级及以上职称人员，</w:t>
            </w:r>
            <w:r>
              <w:rPr>
                <w:rFonts w:hint="eastAsia"/>
                <w:sz w:val="21"/>
                <w:szCs w:val="21"/>
                <w:highlight w:val="none"/>
                <w:lang w:val="en-US" w:eastAsia="zh-CN"/>
              </w:rPr>
              <w:t>得0.5</w:t>
            </w:r>
            <w:r>
              <w:rPr>
                <w:rFonts w:hint="eastAsia"/>
                <w:sz w:val="21"/>
                <w:szCs w:val="21"/>
                <w:highlight w:val="none"/>
                <w:lang w:val="en-US"/>
              </w:rPr>
              <w:t>分</w:t>
            </w:r>
            <w:r>
              <w:rPr>
                <w:rFonts w:hint="eastAsia"/>
                <w:sz w:val="21"/>
                <w:szCs w:val="21"/>
                <w:highlight w:val="none"/>
                <w:lang w:val="en-US" w:eastAsia="zh-CN"/>
              </w:rPr>
              <w:t>；</w:t>
            </w:r>
            <w:r>
              <w:rPr>
                <w:rFonts w:hint="eastAsia"/>
                <w:sz w:val="21"/>
                <w:szCs w:val="21"/>
                <w:highlight w:val="none"/>
                <w:lang w:val="en-US"/>
              </w:rPr>
              <w:t>本项最多得</w:t>
            </w:r>
            <w:r>
              <w:rPr>
                <w:rFonts w:hint="eastAsia"/>
                <w:sz w:val="21"/>
                <w:szCs w:val="21"/>
                <w:highlight w:val="none"/>
                <w:lang w:val="en-US" w:eastAsia="zh-CN"/>
              </w:rPr>
              <w:t>2</w:t>
            </w:r>
            <w:r>
              <w:rPr>
                <w:rFonts w:hint="eastAsia"/>
                <w:sz w:val="21"/>
                <w:szCs w:val="21"/>
                <w:highlight w:val="none"/>
                <w:lang w:val="en-US"/>
              </w:rPr>
              <w:t>分。</w:t>
            </w:r>
          </w:p>
          <w:p>
            <w:pPr>
              <w:pStyle w:val="7"/>
              <w:keepNext w:val="0"/>
              <w:keepLines w:val="0"/>
              <w:pageBreakBefore w:val="0"/>
              <w:widowControl w:val="0"/>
              <w:kinsoku/>
              <w:wordWrap/>
              <w:overflowPunct/>
              <w:topLinePunct w:val="0"/>
              <w:bidi w:val="0"/>
              <w:adjustRightInd w:val="0"/>
              <w:snapToGrid w:val="0"/>
              <w:spacing w:line="380" w:lineRule="exact"/>
              <w:ind w:left="0" w:leftChars="0" w:right="0" w:rightChars="0" w:firstLine="422" w:firstLineChars="200"/>
              <w:textAlignment w:val="auto"/>
              <w:outlineLvl w:val="9"/>
              <w:rPr>
                <w:rFonts w:hint="eastAsia" w:ascii="宋体" w:hAnsi="宋体" w:cs="宋体"/>
                <w:b/>
                <w:szCs w:val="21"/>
                <w:highlight w:val="none"/>
              </w:rPr>
            </w:pPr>
            <w:r>
              <w:rPr>
                <w:rFonts w:hint="eastAsia" w:ascii="宋体" w:hAnsi="宋体" w:cs="宋体"/>
                <w:b/>
                <w:szCs w:val="21"/>
                <w:highlight w:val="none"/>
              </w:rPr>
              <w:t>注：1.上述人员身份证、职称证、资格证、</w:t>
            </w:r>
            <w:r>
              <w:rPr>
                <w:rFonts w:hint="eastAsia" w:ascii="宋体" w:hAnsi="宋体"/>
                <w:b/>
                <w:kern w:val="0"/>
                <w:szCs w:val="21"/>
                <w:highlight w:val="none"/>
              </w:rPr>
              <w:t>投标人为其缴纳的养老保险证明材料</w:t>
            </w:r>
            <w:r>
              <w:rPr>
                <w:rFonts w:hint="eastAsia" w:ascii="宋体" w:hAnsi="宋体" w:cs="宋体"/>
                <w:b/>
                <w:szCs w:val="21"/>
                <w:highlight w:val="none"/>
              </w:rPr>
              <w:t>复印件。</w:t>
            </w:r>
          </w:p>
          <w:p>
            <w:pPr>
              <w:pStyle w:val="7"/>
              <w:keepNext w:val="0"/>
              <w:keepLines w:val="0"/>
              <w:pageBreakBefore w:val="0"/>
              <w:widowControl w:val="0"/>
              <w:kinsoku/>
              <w:wordWrap/>
              <w:overflowPunct/>
              <w:topLinePunct w:val="0"/>
              <w:bidi w:val="0"/>
              <w:adjustRightInd w:val="0"/>
              <w:snapToGrid w:val="0"/>
              <w:spacing w:line="380" w:lineRule="exact"/>
              <w:ind w:left="0" w:leftChars="0" w:right="0" w:rightChars="0" w:firstLine="422" w:firstLineChars="200"/>
              <w:textAlignment w:val="auto"/>
              <w:outlineLvl w:val="9"/>
              <w:rPr>
                <w:rFonts w:ascii="宋体" w:hAnsi="宋体" w:cs="宋体"/>
                <w:b/>
                <w:szCs w:val="21"/>
                <w:highlight w:val="none"/>
              </w:rPr>
            </w:pPr>
            <w:r>
              <w:rPr>
                <w:rFonts w:hint="eastAsia" w:ascii="宋体" w:hAnsi="宋体" w:cs="宋体"/>
                <w:b/>
                <w:szCs w:val="21"/>
                <w:highlight w:val="none"/>
              </w:rPr>
              <w:t>2.水工类包括水利水电工程、水工建筑、水工结构、水工技术专业、水利工程</w:t>
            </w:r>
            <w:r>
              <w:rPr>
                <w:rFonts w:hint="eastAsia" w:ascii="宋体" w:hAnsi="宋体" w:cs="宋体"/>
                <w:b/>
                <w:szCs w:val="21"/>
                <w:highlight w:val="none"/>
                <w:lang w:eastAsia="zh-CN"/>
              </w:rPr>
              <w:t>等</w:t>
            </w:r>
            <w:r>
              <w:rPr>
                <w:rFonts w:hint="eastAsia" w:ascii="宋体" w:hAnsi="宋体" w:cs="宋体"/>
                <w:b/>
                <w:szCs w:val="21"/>
                <w:highlight w:val="none"/>
              </w:rPr>
              <w:t>；水文类包括水文与水资源、水文水资源、陆地水文、水文学及水资源</w:t>
            </w:r>
            <w:r>
              <w:rPr>
                <w:rFonts w:hint="eastAsia" w:ascii="宋体" w:hAnsi="宋体" w:cs="宋体"/>
                <w:b/>
                <w:szCs w:val="21"/>
                <w:highlight w:val="none"/>
                <w:lang w:eastAsia="zh-CN"/>
              </w:rPr>
              <w:t>等</w:t>
            </w:r>
            <w:r>
              <w:rPr>
                <w:rFonts w:hint="eastAsia" w:ascii="宋体" w:hAnsi="宋体" w:cs="宋体"/>
                <w:b/>
                <w:szCs w:val="21"/>
                <w:highlight w:val="none"/>
              </w:rPr>
              <w:t>；地质类包括水文地质、工程地质、水利水电工程地质</w:t>
            </w:r>
            <w:r>
              <w:rPr>
                <w:rFonts w:hint="eastAsia" w:ascii="宋体" w:hAnsi="宋体" w:cs="宋体"/>
                <w:b/>
                <w:szCs w:val="21"/>
                <w:highlight w:val="none"/>
                <w:lang w:eastAsia="zh-CN"/>
              </w:rPr>
              <w:t>等</w:t>
            </w:r>
            <w:r>
              <w:rPr>
                <w:rFonts w:hint="eastAsia" w:ascii="宋体" w:hAnsi="宋体" w:cs="宋体"/>
                <w:b/>
                <w:szCs w:val="21"/>
                <w:highlight w:val="none"/>
              </w:rPr>
              <w:t>。</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0" w:leftChars="0" w:right="0" w:rightChars="0" w:firstLine="417" w:firstLineChars="198"/>
              <w:textAlignment w:val="auto"/>
              <w:outlineLvl w:val="9"/>
              <w:rPr>
                <w:rFonts w:hint="eastAsia" w:ascii="宋体" w:hAnsi="宋体" w:cs="宋体"/>
                <w:b/>
                <w:bCs/>
                <w:szCs w:val="21"/>
                <w:highlight w:val="none"/>
              </w:rPr>
            </w:pPr>
            <w:r>
              <w:rPr>
                <w:rFonts w:hint="eastAsia" w:ascii="宋体" w:hAnsi="宋体" w:cs="宋体"/>
                <w:b/>
                <w:bCs/>
                <w:szCs w:val="21"/>
                <w:highlight w:val="none"/>
              </w:rPr>
              <w:t>3.本招标文件中所要求的人员养老保险证明要求如下：</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0" w:leftChars="0" w:right="0" w:rightChars="0" w:firstLine="417" w:firstLineChars="198"/>
              <w:textAlignment w:val="auto"/>
              <w:outlineLvl w:val="9"/>
              <w:rPr>
                <w:rFonts w:hint="eastAsia" w:ascii="宋体" w:hAnsi="宋体" w:cs="宋体"/>
                <w:b/>
                <w:bCs/>
                <w:szCs w:val="21"/>
                <w:highlight w:val="none"/>
              </w:rPr>
            </w:pPr>
            <w:r>
              <w:rPr>
                <w:rFonts w:hint="eastAsia" w:ascii="宋体" w:hAnsi="宋体" w:cs="宋体"/>
                <w:b/>
                <w:bCs/>
                <w:szCs w:val="21"/>
                <w:highlight w:val="none"/>
              </w:rPr>
              <w:t>①社会单位提供养老保险证明，事业单位提供养老保险证明或行政主管部门在编证明。</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0" w:leftChars="0" w:right="0" w:rightChars="0" w:firstLine="417" w:firstLineChars="198"/>
              <w:textAlignment w:val="auto"/>
              <w:outlineLvl w:val="9"/>
              <w:rPr>
                <w:rFonts w:hint="eastAsia" w:ascii="宋体" w:hAnsi="宋体" w:cs="宋体"/>
                <w:b/>
                <w:bCs/>
                <w:szCs w:val="21"/>
                <w:highlight w:val="none"/>
              </w:rPr>
            </w:pPr>
            <w:r>
              <w:rPr>
                <w:rFonts w:hint="eastAsia" w:ascii="宋体" w:hAnsi="宋体" w:cs="宋体"/>
                <w:b/>
                <w:bCs/>
                <w:szCs w:val="21"/>
                <w:highlight w:val="none"/>
              </w:rPr>
              <w:t>②所有拟派人员提供的养老保险证明期限为202</w:t>
            </w:r>
            <w:r>
              <w:rPr>
                <w:rFonts w:hint="eastAsia" w:ascii="宋体" w:hAnsi="宋体" w:cs="宋体"/>
                <w:b/>
                <w:bCs/>
                <w:szCs w:val="21"/>
                <w:highlight w:val="none"/>
                <w:lang w:val="en-US" w:eastAsia="zh-CN"/>
              </w:rPr>
              <w:t>2</w:t>
            </w:r>
            <w:r>
              <w:rPr>
                <w:rFonts w:hint="eastAsia" w:ascii="宋体" w:hAnsi="宋体" w:cs="宋体"/>
                <w:b/>
                <w:bCs/>
                <w:szCs w:val="21"/>
                <w:highlight w:val="none"/>
              </w:rPr>
              <w:t>年1月至2022年</w:t>
            </w:r>
            <w:r>
              <w:rPr>
                <w:rFonts w:hint="eastAsia" w:ascii="宋体" w:hAnsi="宋体" w:cs="宋体"/>
                <w:b/>
                <w:bCs/>
                <w:szCs w:val="21"/>
                <w:highlight w:val="none"/>
                <w:lang w:val="en-US" w:eastAsia="zh-CN"/>
              </w:rPr>
              <w:t>6</w:t>
            </w:r>
            <w:r>
              <w:rPr>
                <w:rFonts w:hint="eastAsia" w:ascii="宋体" w:hAnsi="宋体" w:cs="宋体"/>
                <w:b/>
                <w:bCs/>
                <w:szCs w:val="21"/>
                <w:highlight w:val="none"/>
              </w:rPr>
              <w:t>月的连续养老保险。</w:t>
            </w:r>
          </w:p>
          <w:p>
            <w:pPr>
              <w:pStyle w:val="19"/>
              <w:keepNext w:val="0"/>
              <w:keepLines w:val="0"/>
              <w:pageBreakBefore w:val="0"/>
              <w:widowControl w:val="0"/>
              <w:kinsoku/>
              <w:wordWrap/>
              <w:overflowPunct/>
              <w:topLinePunct w:val="0"/>
              <w:bidi w:val="0"/>
              <w:adjustRightInd w:val="0"/>
              <w:snapToGrid w:val="0"/>
              <w:spacing w:line="380" w:lineRule="exact"/>
              <w:ind w:left="0" w:leftChars="0" w:right="0" w:rightChars="0" w:firstLine="422" w:firstLineChars="200"/>
              <w:jc w:val="both"/>
              <w:textAlignment w:val="auto"/>
              <w:outlineLvl w:val="9"/>
              <w:rPr>
                <w:rFonts w:hint="eastAsia"/>
                <w:sz w:val="21"/>
                <w:szCs w:val="21"/>
                <w:highlight w:val="none"/>
                <w:lang w:val="en-US"/>
              </w:rPr>
            </w:pPr>
            <w:r>
              <w:rPr>
                <w:rFonts w:hint="eastAsia"/>
                <w:b/>
                <w:bCs/>
                <w:sz w:val="21"/>
                <w:szCs w:val="21"/>
                <w:highlight w:val="none"/>
              </w:rPr>
              <w:t>③如因疫情影响，按当地政策可减免企业在此期间缴纳人员社保的，请附社保缴纳管理部门出具的减免情况说明复印件（或政务或权威网站公开发布的减免公告的网络截图复印件）加盖投标人单位</w:t>
            </w:r>
            <w:r>
              <w:rPr>
                <w:rFonts w:hint="eastAsia"/>
                <w:b/>
                <w:bCs/>
                <w:sz w:val="21"/>
                <w:szCs w:val="21"/>
                <w:highlight w:val="none"/>
                <w:lang w:val="en-US"/>
              </w:rPr>
              <w:t>公章</w:t>
            </w:r>
            <w:r>
              <w:rPr>
                <w:rFonts w:hint="eastAsia"/>
                <w:b/>
                <w:bCs/>
                <w:sz w:val="21"/>
                <w:szCs w:val="21"/>
                <w:highlight w:val="none"/>
              </w:rPr>
              <w:t>鲜章。</w:t>
            </w:r>
          </w:p>
        </w:tc>
      </w:tr>
      <w:tr>
        <w:tblPrEx>
          <w:tblLayout w:type="fixed"/>
          <w:tblCellMar>
            <w:top w:w="0" w:type="dxa"/>
            <w:left w:w="0" w:type="dxa"/>
            <w:bottom w:w="0" w:type="dxa"/>
            <w:right w:w="0" w:type="dxa"/>
          </w:tblCellMar>
        </w:tblPrEx>
        <w:trPr>
          <w:trHeight w:val="378"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p>
        </w:tc>
        <w:tc>
          <w:tcPr>
            <w:tcW w:w="112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p>
        </w:tc>
        <w:tc>
          <w:tcPr>
            <w:tcW w:w="7526"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400" w:lineRule="exact"/>
              <w:ind w:firstLine="422" w:firstLineChars="200"/>
              <w:jc w:val="left"/>
              <w:rPr>
                <w:rFonts w:hint="eastAsia" w:ascii="宋体" w:hAnsi="宋体" w:cs="宋体"/>
                <w:kern w:val="0"/>
                <w:szCs w:val="21"/>
                <w:highlight w:val="none"/>
              </w:rPr>
            </w:pPr>
            <w:r>
              <w:rPr>
                <w:rFonts w:hint="eastAsia" w:ascii="宋体" w:hAnsi="宋体" w:cs="宋体"/>
                <w:b/>
                <w:bCs/>
                <w:szCs w:val="21"/>
                <w:highlight w:val="none"/>
              </w:rPr>
              <w:t>注：以上商务部分评审提供的复印件须加盖投标人单位公章鲜章。</w:t>
            </w:r>
          </w:p>
        </w:tc>
      </w:tr>
      <w:tr>
        <w:tblPrEx>
          <w:tblLayout w:type="fixed"/>
          <w:tblCellMar>
            <w:top w:w="0" w:type="dxa"/>
            <w:left w:w="0" w:type="dxa"/>
            <w:bottom w:w="0" w:type="dxa"/>
            <w:right w:w="0" w:type="dxa"/>
          </w:tblCellMar>
        </w:tblPrEx>
        <w:trPr>
          <w:jc w:val="center"/>
        </w:trPr>
        <w:tc>
          <w:tcPr>
            <w:tcW w:w="900" w:type="dxa"/>
            <w:vMerge w:val="restart"/>
            <w:tcBorders>
              <w:top w:val="single" w:color="000000" w:sz="4" w:space="0"/>
              <w:left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2.2.4</w:t>
            </w:r>
          </w:p>
          <w:p>
            <w:pPr>
              <w:autoSpaceDE w:val="0"/>
              <w:autoSpaceDN w:val="0"/>
              <w:adjustRightInd w:val="0"/>
              <w:snapToGrid w:val="0"/>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（2）</w:t>
            </w:r>
          </w:p>
        </w:tc>
        <w:tc>
          <w:tcPr>
            <w:tcW w:w="1123"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技术部分 评分标准（15分）</w:t>
            </w:r>
          </w:p>
        </w:tc>
        <w:tc>
          <w:tcPr>
            <w:tcW w:w="179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bCs/>
                <w:szCs w:val="21"/>
                <w:highlight w:val="none"/>
              </w:rPr>
            </w:pPr>
            <w:r>
              <w:rPr>
                <w:rFonts w:ascii="宋体" w:hAnsi="宋体" w:cs="宋体"/>
                <w:bCs/>
                <w:szCs w:val="21"/>
                <w:highlight w:val="none"/>
              </w:rPr>
              <w:t>对本项目的理解</w:t>
            </w:r>
          </w:p>
          <w:p>
            <w:pPr>
              <w:widowControl/>
              <w:spacing w:line="400" w:lineRule="exact"/>
              <w:jc w:val="center"/>
              <w:textAlignment w:val="center"/>
              <w:rPr>
                <w:rFonts w:hint="eastAsia" w:ascii="宋体" w:hAnsi="宋体" w:cs="宋体"/>
                <w:kern w:val="0"/>
                <w:szCs w:val="21"/>
                <w:highlight w:val="none"/>
              </w:rPr>
            </w:pPr>
            <w:r>
              <w:rPr>
                <w:rFonts w:hint="eastAsia" w:ascii="宋体" w:hAnsi="宋体" w:cs="宋体"/>
                <w:bCs/>
                <w:szCs w:val="21"/>
                <w:highlight w:val="none"/>
              </w:rPr>
              <w:t>（3分）</w:t>
            </w:r>
          </w:p>
        </w:tc>
        <w:tc>
          <w:tcPr>
            <w:tcW w:w="5730" w:type="dxa"/>
            <w:tcBorders>
              <w:top w:val="single" w:color="000000" w:sz="4" w:space="0"/>
              <w:left w:val="single" w:color="000000" w:sz="4" w:space="0"/>
              <w:bottom w:val="single" w:color="000000" w:sz="4" w:space="0"/>
              <w:right w:val="single" w:color="000000" w:sz="4" w:space="0"/>
            </w:tcBorders>
            <w:vAlign w:val="center"/>
          </w:tcPr>
          <w:p>
            <w:pPr>
              <w:pStyle w:val="19"/>
              <w:adjustRightInd w:val="0"/>
              <w:snapToGrid w:val="0"/>
              <w:spacing w:line="400" w:lineRule="exact"/>
              <w:ind w:firstLine="420" w:firstLineChars="200"/>
              <w:jc w:val="both"/>
              <w:rPr>
                <w:rFonts w:hint="eastAsia"/>
                <w:sz w:val="21"/>
                <w:szCs w:val="21"/>
                <w:highlight w:val="none"/>
                <w:lang w:val="en-US"/>
              </w:rPr>
            </w:pPr>
            <w:r>
              <w:rPr>
                <w:rFonts w:hint="eastAsia"/>
                <w:sz w:val="21"/>
                <w:szCs w:val="21"/>
                <w:highlight w:val="none"/>
                <w:lang w:val="en-US"/>
              </w:rPr>
              <w:t>对本项目符合国家及地方有关技术规范及标准规定，以及本次项目工作背景、目的和工作范围认识准确性、深入程度等。理解和认识全面深刻，符合重庆新机场</w:t>
            </w:r>
            <w:r>
              <w:rPr>
                <w:rFonts w:hint="eastAsia"/>
                <w:sz w:val="21"/>
                <w:szCs w:val="21"/>
                <w:highlight w:val="none"/>
                <w:lang w:val="en-US" w:eastAsia="zh-CN"/>
              </w:rPr>
              <w:t>近期和远期</w:t>
            </w:r>
            <w:r>
              <w:rPr>
                <w:rFonts w:hint="eastAsia"/>
                <w:sz w:val="21"/>
                <w:szCs w:val="21"/>
                <w:highlight w:val="none"/>
                <w:lang w:val="en-US"/>
              </w:rPr>
              <w:t>建设项目实际情况。</w:t>
            </w:r>
          </w:p>
          <w:p>
            <w:pPr>
              <w:pStyle w:val="19"/>
              <w:adjustRightInd w:val="0"/>
              <w:snapToGrid w:val="0"/>
              <w:spacing w:line="400" w:lineRule="exact"/>
              <w:ind w:firstLine="420" w:firstLineChars="200"/>
              <w:jc w:val="both"/>
              <w:rPr>
                <w:rFonts w:hint="eastAsia"/>
                <w:sz w:val="21"/>
                <w:szCs w:val="21"/>
                <w:highlight w:val="none"/>
                <w:lang w:val="en-US"/>
              </w:rPr>
            </w:pPr>
            <w:r>
              <w:rPr>
                <w:rFonts w:hint="eastAsia"/>
                <w:sz w:val="21"/>
                <w:szCs w:val="21"/>
                <w:highlight w:val="none"/>
                <w:lang w:val="en-US"/>
              </w:rPr>
              <w:t>未提供的得0分；一般的得0-1分；良好的得1-2分；优秀的得2-3分。</w:t>
            </w:r>
          </w:p>
        </w:tc>
      </w:tr>
      <w:tr>
        <w:tblPrEx>
          <w:tblLayout w:type="fixed"/>
          <w:tblCellMar>
            <w:top w:w="0" w:type="dxa"/>
            <w:left w:w="0" w:type="dxa"/>
            <w:bottom w:w="0" w:type="dxa"/>
            <w:right w:w="0" w:type="dxa"/>
          </w:tblCellMar>
        </w:tblPrEx>
        <w:trPr>
          <w:jc w:val="center"/>
        </w:trPr>
        <w:tc>
          <w:tcPr>
            <w:tcW w:w="900" w:type="dxa"/>
            <w:vMerge w:val="continue"/>
            <w:tcBorders>
              <w:left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p>
        </w:tc>
        <w:tc>
          <w:tcPr>
            <w:tcW w:w="1123"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p>
        </w:tc>
        <w:tc>
          <w:tcPr>
            <w:tcW w:w="17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highlight w:val="none"/>
              </w:rPr>
            </w:pPr>
            <w:r>
              <w:rPr>
                <w:rFonts w:hint="eastAsia"/>
                <w:highlight w:val="none"/>
              </w:rPr>
              <w:t>服</w:t>
            </w:r>
            <w:r>
              <w:rPr>
                <w:rFonts w:hint="eastAsia" w:ascii="宋体" w:hAnsi="宋体" w:cs="宋体"/>
                <w:highlight w:val="none"/>
              </w:rPr>
              <w:t>务方案</w:t>
            </w:r>
          </w:p>
          <w:p>
            <w:pPr>
              <w:autoSpaceDE w:val="0"/>
              <w:autoSpaceDN w:val="0"/>
              <w:adjustRightInd w:val="0"/>
              <w:snapToGrid w:val="0"/>
              <w:spacing w:line="400" w:lineRule="exact"/>
              <w:jc w:val="center"/>
              <w:rPr>
                <w:rFonts w:hint="eastAsia" w:ascii="宋体" w:hAnsi="宋体" w:cs="宋体"/>
                <w:kern w:val="0"/>
                <w:szCs w:val="21"/>
                <w:highlight w:val="none"/>
              </w:rPr>
            </w:pPr>
            <w:r>
              <w:rPr>
                <w:rFonts w:hint="eastAsia" w:ascii="宋体" w:hAnsi="宋体" w:cs="宋体"/>
                <w:highlight w:val="none"/>
              </w:rPr>
              <w:t>（4分）</w:t>
            </w:r>
          </w:p>
        </w:tc>
        <w:tc>
          <w:tcPr>
            <w:tcW w:w="5730" w:type="dxa"/>
            <w:tcBorders>
              <w:top w:val="single" w:color="000000" w:sz="4" w:space="0"/>
              <w:left w:val="single" w:color="000000" w:sz="4" w:space="0"/>
              <w:bottom w:val="single" w:color="000000" w:sz="4" w:space="0"/>
              <w:right w:val="single" w:color="000000" w:sz="4" w:space="0"/>
            </w:tcBorders>
            <w:vAlign w:val="center"/>
          </w:tcPr>
          <w:p>
            <w:pPr>
              <w:pStyle w:val="19"/>
              <w:adjustRightInd w:val="0"/>
              <w:snapToGrid w:val="0"/>
              <w:spacing w:line="400" w:lineRule="exact"/>
              <w:ind w:firstLine="420" w:firstLineChars="200"/>
              <w:jc w:val="both"/>
              <w:rPr>
                <w:rFonts w:hint="eastAsia"/>
                <w:sz w:val="21"/>
                <w:szCs w:val="21"/>
                <w:highlight w:val="none"/>
                <w:lang w:val="en-US"/>
              </w:rPr>
            </w:pPr>
            <w:r>
              <w:rPr>
                <w:rFonts w:hint="eastAsia"/>
                <w:sz w:val="21"/>
                <w:szCs w:val="21"/>
                <w:highlight w:val="none"/>
                <w:lang w:val="en-US"/>
              </w:rPr>
              <w:t>服务方案结构清晰、内容完整、表述准确、归纳凝练，工作程序、工作方法科学严谨，工作内容、工作深度切实可行，明确规范性条款、技术标准、方法、工作重点与技术难点等。总体思路满足工作要求，针对性强。</w:t>
            </w:r>
          </w:p>
          <w:p>
            <w:pPr>
              <w:pStyle w:val="19"/>
              <w:adjustRightInd w:val="0"/>
              <w:snapToGrid w:val="0"/>
              <w:spacing w:line="400" w:lineRule="exact"/>
              <w:ind w:firstLine="420" w:firstLineChars="200"/>
              <w:jc w:val="both"/>
              <w:rPr>
                <w:rFonts w:hint="eastAsia"/>
                <w:sz w:val="21"/>
                <w:szCs w:val="21"/>
                <w:highlight w:val="none"/>
                <w:lang w:val="en-US"/>
              </w:rPr>
            </w:pPr>
            <w:r>
              <w:rPr>
                <w:rFonts w:hint="eastAsia"/>
                <w:sz w:val="21"/>
                <w:szCs w:val="21"/>
                <w:highlight w:val="none"/>
                <w:lang w:val="en-US"/>
              </w:rPr>
              <w:t>未提供的得0分；一般的得0-1分；良好的得1-2分；优秀的得2-4分。</w:t>
            </w:r>
          </w:p>
        </w:tc>
      </w:tr>
      <w:tr>
        <w:tblPrEx>
          <w:tblLayout w:type="fixed"/>
          <w:tblCellMar>
            <w:top w:w="0" w:type="dxa"/>
            <w:left w:w="0" w:type="dxa"/>
            <w:bottom w:w="0" w:type="dxa"/>
            <w:right w:w="0" w:type="dxa"/>
          </w:tblCellMar>
        </w:tblPrEx>
        <w:trPr>
          <w:jc w:val="center"/>
        </w:trPr>
        <w:tc>
          <w:tcPr>
            <w:tcW w:w="900" w:type="dxa"/>
            <w:vMerge w:val="continue"/>
            <w:tcBorders>
              <w:left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p>
        </w:tc>
        <w:tc>
          <w:tcPr>
            <w:tcW w:w="1123"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p>
        </w:tc>
        <w:tc>
          <w:tcPr>
            <w:tcW w:w="17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质量控制</w:t>
            </w:r>
          </w:p>
          <w:p>
            <w:pPr>
              <w:autoSpaceDE w:val="0"/>
              <w:autoSpaceDN w:val="0"/>
              <w:adjustRightInd w:val="0"/>
              <w:snapToGrid w:val="0"/>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（4分）</w:t>
            </w:r>
          </w:p>
        </w:tc>
        <w:tc>
          <w:tcPr>
            <w:tcW w:w="5730" w:type="dxa"/>
            <w:tcBorders>
              <w:top w:val="single" w:color="000000" w:sz="4" w:space="0"/>
              <w:left w:val="single" w:color="000000" w:sz="4" w:space="0"/>
              <w:bottom w:val="single" w:color="000000" w:sz="4" w:space="0"/>
              <w:right w:val="single" w:color="000000" w:sz="4" w:space="0"/>
            </w:tcBorders>
            <w:vAlign w:val="center"/>
          </w:tcPr>
          <w:p>
            <w:pPr>
              <w:pStyle w:val="19"/>
              <w:adjustRightInd w:val="0"/>
              <w:snapToGrid w:val="0"/>
              <w:spacing w:line="400" w:lineRule="exact"/>
              <w:ind w:firstLine="420" w:firstLineChars="200"/>
              <w:jc w:val="both"/>
              <w:rPr>
                <w:rFonts w:hint="eastAsia"/>
                <w:sz w:val="21"/>
                <w:szCs w:val="21"/>
                <w:highlight w:val="none"/>
                <w:lang w:val="en-US"/>
              </w:rPr>
            </w:pPr>
            <w:r>
              <w:rPr>
                <w:rFonts w:hint="eastAsia"/>
                <w:sz w:val="21"/>
                <w:szCs w:val="21"/>
                <w:highlight w:val="none"/>
                <w:lang w:val="en-US"/>
              </w:rPr>
              <w:t>为本项目制定的技术服务流程、工期进度计划、技术档案管理、人员组织及保障情况。</w:t>
            </w:r>
            <w:r>
              <w:rPr>
                <w:rFonts w:hint="eastAsia"/>
                <w:sz w:val="21"/>
                <w:szCs w:val="21"/>
                <w:highlight w:val="none"/>
                <w:lang w:val="zh-TW" w:eastAsia="zh-TW"/>
              </w:rPr>
              <w:t>人员配备合理，管理体系完善，设备能满足精度和时间要求，工作</w:t>
            </w:r>
            <w:r>
              <w:rPr>
                <w:rFonts w:hint="eastAsia"/>
                <w:sz w:val="21"/>
                <w:szCs w:val="21"/>
                <w:highlight w:val="none"/>
                <w:lang w:val="zh-TW"/>
              </w:rPr>
              <w:t>计划</w:t>
            </w:r>
            <w:r>
              <w:rPr>
                <w:rFonts w:hint="eastAsia"/>
                <w:sz w:val="21"/>
                <w:szCs w:val="21"/>
                <w:highlight w:val="none"/>
                <w:lang w:val="zh-TW" w:eastAsia="zh-TW"/>
              </w:rPr>
              <w:t>充分考虑修改</w:t>
            </w:r>
            <w:r>
              <w:rPr>
                <w:rFonts w:hint="eastAsia"/>
                <w:sz w:val="21"/>
                <w:szCs w:val="21"/>
                <w:highlight w:val="none"/>
                <w:lang w:val="zh-TW"/>
              </w:rPr>
              <w:t>空间</w:t>
            </w:r>
            <w:r>
              <w:rPr>
                <w:rFonts w:hint="eastAsia"/>
                <w:sz w:val="21"/>
                <w:szCs w:val="21"/>
                <w:highlight w:val="none"/>
                <w:lang w:val="zh-TW" w:eastAsia="zh-TW"/>
              </w:rPr>
              <w:t>，有可靠的</w:t>
            </w:r>
            <w:r>
              <w:rPr>
                <w:rFonts w:hint="eastAsia"/>
                <w:sz w:val="21"/>
                <w:szCs w:val="21"/>
                <w:highlight w:val="none"/>
                <w:lang w:val="zh-TW"/>
              </w:rPr>
              <w:t>进度保障和质量保障</w:t>
            </w:r>
            <w:r>
              <w:rPr>
                <w:rFonts w:hint="eastAsia"/>
                <w:sz w:val="21"/>
                <w:szCs w:val="21"/>
                <w:highlight w:val="none"/>
                <w:lang w:val="zh-TW" w:eastAsia="zh-TW"/>
              </w:rPr>
              <w:t>措施</w:t>
            </w:r>
            <w:r>
              <w:rPr>
                <w:rFonts w:hint="eastAsia"/>
                <w:sz w:val="21"/>
                <w:szCs w:val="21"/>
                <w:highlight w:val="none"/>
                <w:lang w:val="zh-TW"/>
              </w:rPr>
              <w:t>，确保在</w:t>
            </w:r>
            <w:r>
              <w:rPr>
                <w:rFonts w:hint="eastAsia"/>
                <w:sz w:val="21"/>
                <w:szCs w:val="21"/>
                <w:highlight w:val="none"/>
                <w:lang w:val="zh-TW" w:eastAsia="zh-TW"/>
              </w:rPr>
              <w:t>规定的时间内</w:t>
            </w:r>
            <w:r>
              <w:rPr>
                <w:rFonts w:hint="eastAsia"/>
                <w:sz w:val="21"/>
                <w:szCs w:val="21"/>
                <w:highlight w:val="none"/>
                <w:lang w:val="zh-TW"/>
              </w:rPr>
              <w:t>能够</w:t>
            </w:r>
            <w:r>
              <w:rPr>
                <w:rFonts w:hint="eastAsia"/>
                <w:sz w:val="21"/>
                <w:szCs w:val="21"/>
                <w:highlight w:val="none"/>
                <w:lang w:val="zh-TW" w:eastAsia="zh-TW"/>
              </w:rPr>
              <w:t>完成</w:t>
            </w:r>
            <w:r>
              <w:rPr>
                <w:rFonts w:hint="eastAsia"/>
                <w:sz w:val="21"/>
                <w:szCs w:val="21"/>
                <w:highlight w:val="none"/>
                <w:lang w:val="zh-TW"/>
              </w:rPr>
              <w:t>相应报告编制，并通过</w:t>
            </w:r>
            <w:r>
              <w:rPr>
                <w:rFonts w:hint="eastAsia"/>
                <w:sz w:val="21"/>
                <w:szCs w:val="21"/>
                <w:highlight w:val="none"/>
                <w:lang w:val="zh-TW" w:eastAsia="zh-CN"/>
              </w:rPr>
              <w:t>行业内专家评审</w:t>
            </w:r>
            <w:r>
              <w:rPr>
                <w:rFonts w:hint="eastAsia"/>
                <w:sz w:val="21"/>
                <w:szCs w:val="21"/>
                <w:highlight w:val="none"/>
                <w:lang w:val="zh-TW" w:eastAsia="zh-TW"/>
              </w:rPr>
              <w:t>。</w:t>
            </w:r>
          </w:p>
          <w:p>
            <w:pPr>
              <w:pStyle w:val="19"/>
              <w:adjustRightInd w:val="0"/>
              <w:snapToGrid w:val="0"/>
              <w:spacing w:line="400" w:lineRule="exact"/>
              <w:ind w:firstLine="420" w:firstLineChars="200"/>
              <w:jc w:val="both"/>
              <w:rPr>
                <w:rFonts w:hint="eastAsia"/>
                <w:sz w:val="21"/>
                <w:szCs w:val="21"/>
                <w:highlight w:val="none"/>
                <w:lang w:val="en-US"/>
              </w:rPr>
            </w:pPr>
            <w:r>
              <w:rPr>
                <w:rFonts w:hint="eastAsia"/>
                <w:sz w:val="21"/>
                <w:szCs w:val="21"/>
                <w:highlight w:val="none"/>
                <w:lang w:val="en-US"/>
              </w:rPr>
              <w:t>未提供的得0分；一般的得0-1分；良好的得1-2分；优秀的得2-4分。</w:t>
            </w:r>
          </w:p>
        </w:tc>
      </w:tr>
      <w:tr>
        <w:tblPrEx>
          <w:tblLayout w:type="fixed"/>
          <w:tblCellMar>
            <w:top w:w="0" w:type="dxa"/>
            <w:left w:w="0" w:type="dxa"/>
            <w:bottom w:w="0" w:type="dxa"/>
            <w:right w:w="0" w:type="dxa"/>
          </w:tblCellMar>
        </w:tblPrEx>
        <w:trPr>
          <w:jc w:val="center"/>
        </w:trPr>
        <w:tc>
          <w:tcPr>
            <w:tcW w:w="900" w:type="dxa"/>
            <w:vMerge w:val="continue"/>
            <w:tcBorders>
              <w:left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p>
        </w:tc>
        <w:tc>
          <w:tcPr>
            <w:tcW w:w="1123"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p>
        </w:tc>
        <w:tc>
          <w:tcPr>
            <w:tcW w:w="17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后续服务</w:t>
            </w:r>
          </w:p>
          <w:p>
            <w:pPr>
              <w:autoSpaceDE w:val="0"/>
              <w:autoSpaceDN w:val="0"/>
              <w:adjustRightInd w:val="0"/>
              <w:snapToGrid w:val="0"/>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（4分）</w:t>
            </w:r>
          </w:p>
        </w:tc>
        <w:tc>
          <w:tcPr>
            <w:tcW w:w="5730" w:type="dxa"/>
            <w:tcBorders>
              <w:top w:val="single" w:color="000000" w:sz="4" w:space="0"/>
              <w:left w:val="single" w:color="000000" w:sz="4" w:space="0"/>
              <w:bottom w:val="single" w:color="000000" w:sz="4" w:space="0"/>
              <w:right w:val="single" w:color="000000" w:sz="4" w:space="0"/>
            </w:tcBorders>
            <w:vAlign w:val="center"/>
          </w:tcPr>
          <w:p>
            <w:pPr>
              <w:pStyle w:val="19"/>
              <w:adjustRightInd w:val="0"/>
              <w:snapToGrid w:val="0"/>
              <w:spacing w:line="400" w:lineRule="exact"/>
              <w:ind w:firstLine="420" w:firstLineChars="200"/>
              <w:jc w:val="both"/>
              <w:rPr>
                <w:rFonts w:hint="eastAsia"/>
                <w:sz w:val="21"/>
                <w:szCs w:val="21"/>
                <w:highlight w:val="none"/>
                <w:lang w:val="en-US"/>
              </w:rPr>
            </w:pPr>
            <w:r>
              <w:rPr>
                <w:rFonts w:hint="eastAsia"/>
                <w:sz w:val="21"/>
                <w:szCs w:val="21"/>
                <w:highlight w:val="none"/>
                <w:lang w:val="en-US"/>
              </w:rPr>
              <w:t>对比各投标人与招标人、报告审批部门沟通的便捷程度，后续支持服务范围、服务承诺、服务措施等情况综合评价等。</w:t>
            </w:r>
          </w:p>
          <w:p>
            <w:pPr>
              <w:pStyle w:val="19"/>
              <w:adjustRightInd w:val="0"/>
              <w:snapToGrid w:val="0"/>
              <w:spacing w:line="400" w:lineRule="exact"/>
              <w:ind w:firstLine="420" w:firstLineChars="200"/>
              <w:jc w:val="both"/>
              <w:rPr>
                <w:rFonts w:hint="eastAsia"/>
                <w:sz w:val="21"/>
                <w:szCs w:val="21"/>
                <w:highlight w:val="none"/>
                <w:lang w:val="en-US"/>
              </w:rPr>
            </w:pPr>
            <w:r>
              <w:rPr>
                <w:rFonts w:hint="eastAsia"/>
                <w:sz w:val="21"/>
                <w:szCs w:val="21"/>
                <w:highlight w:val="none"/>
                <w:lang w:val="en-US"/>
              </w:rPr>
              <w:t>未提供的得0分；一般的得0-1分；良好的得1-2分；优秀的得2-4分。</w:t>
            </w:r>
          </w:p>
        </w:tc>
      </w:tr>
      <w:tr>
        <w:tblPrEx>
          <w:tblLayout w:type="fixed"/>
          <w:tblCellMar>
            <w:top w:w="0" w:type="dxa"/>
            <w:left w:w="0" w:type="dxa"/>
            <w:bottom w:w="0" w:type="dxa"/>
            <w:right w:w="0" w:type="dxa"/>
          </w:tblCellMar>
        </w:tblPrEx>
        <w:trPr>
          <w:jc w:val="center"/>
        </w:trPr>
        <w:tc>
          <w:tcPr>
            <w:tcW w:w="900" w:type="dxa"/>
            <w:vMerge w:val="continue"/>
            <w:tcBorders>
              <w:left w:val="single" w:color="000000" w:sz="4" w:space="0"/>
              <w:bottom w:val="single" w:color="000000" w:sz="4" w:space="0"/>
              <w:right w:val="single" w:color="000000" w:sz="4" w:space="0"/>
            </w:tcBorders>
            <w:vAlign w:val="center"/>
          </w:tcPr>
          <w:p>
            <w:pPr>
              <w:autoSpaceDE w:val="0"/>
              <w:autoSpaceDN w:val="0"/>
              <w:adjustRightInd w:val="0"/>
              <w:spacing w:before="156" w:beforeLines="50" w:after="156" w:afterLines="50" w:line="360" w:lineRule="auto"/>
              <w:ind w:left="105" w:leftChars="50" w:right="105" w:rightChars="50"/>
              <w:jc w:val="center"/>
              <w:rPr>
                <w:rFonts w:hint="eastAsia" w:ascii="宋体" w:hAnsi="宋体" w:cs="宋体"/>
                <w:kern w:val="0"/>
                <w:sz w:val="24"/>
                <w:szCs w:val="24"/>
                <w:highlight w:val="none"/>
              </w:rPr>
            </w:pPr>
          </w:p>
        </w:tc>
        <w:tc>
          <w:tcPr>
            <w:tcW w:w="864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ind w:firstLine="422" w:firstLineChars="200"/>
              <w:jc w:val="left"/>
              <w:rPr>
                <w:rFonts w:hint="eastAsia" w:ascii="宋体" w:hAnsi="宋体" w:cs="宋体"/>
                <w:kern w:val="0"/>
                <w:szCs w:val="21"/>
                <w:highlight w:val="none"/>
              </w:rPr>
            </w:pPr>
            <w:r>
              <w:rPr>
                <w:rFonts w:hint="eastAsia" w:ascii="宋体" w:hAnsi="宋体" w:cs="宋体"/>
                <w:b/>
                <w:bCs/>
                <w:szCs w:val="21"/>
                <w:highlight w:val="none"/>
              </w:rPr>
              <w:t>注：投标人技术部分得分取所有评委打分的算术平均值。以上计算取小数点后两位，第三位四舍五入；当有评委打分高于所有评委打分算术平均值×（1+30%）或低于所有评委打分算术平均值×（1-30%）时，则所有投标人的技术部分得分均去掉一个最高分和一个最低分，取余下评委打分的算术平均值为该投标人技术部分得分。以上计算取小数点后两位，第三位四舍五入。</w:t>
            </w:r>
          </w:p>
        </w:tc>
      </w:tr>
      <w:tr>
        <w:tblPrEx>
          <w:tblLayout w:type="fixed"/>
          <w:tblCellMar>
            <w:top w:w="0" w:type="dxa"/>
            <w:left w:w="0" w:type="dxa"/>
            <w:bottom w:w="0" w:type="dxa"/>
            <w:right w:w="0" w:type="dxa"/>
          </w:tblCellMar>
        </w:tblPrEx>
        <w:trPr>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22"/>
              <w:adjustRightInd w:val="0"/>
              <w:snapToGrid w:val="0"/>
              <w:spacing w:line="400" w:lineRule="exact"/>
              <w:jc w:val="center"/>
              <w:rPr>
                <w:rFonts w:hint="eastAsia" w:ascii="宋体" w:hAnsi="宋体" w:cs="宋体"/>
                <w:highlight w:val="none"/>
              </w:rPr>
            </w:pPr>
            <w:r>
              <w:rPr>
                <w:rFonts w:hint="eastAsia" w:ascii="宋体" w:hAnsi="宋体" w:cs="宋体"/>
                <w:highlight w:val="none"/>
              </w:rPr>
              <w:t>2.2.4</w:t>
            </w:r>
          </w:p>
          <w:p>
            <w:pPr>
              <w:pStyle w:val="22"/>
              <w:adjustRightInd w:val="0"/>
              <w:snapToGrid w:val="0"/>
              <w:spacing w:line="400" w:lineRule="exact"/>
              <w:jc w:val="center"/>
              <w:rPr>
                <w:rFonts w:hint="eastAsia" w:ascii="宋体" w:hAnsi="宋体" w:cs="宋体"/>
                <w:highlight w:val="none"/>
              </w:rPr>
            </w:pPr>
            <w:r>
              <w:rPr>
                <w:rFonts w:hint="eastAsia" w:ascii="宋体" w:hAnsi="宋体" w:cs="宋体"/>
                <w:highlight w:val="none"/>
              </w:rPr>
              <w:t>（3）</w:t>
            </w:r>
          </w:p>
        </w:tc>
        <w:tc>
          <w:tcPr>
            <w:tcW w:w="1123" w:type="dxa"/>
            <w:tcBorders>
              <w:top w:val="single" w:color="000000" w:sz="4" w:space="0"/>
              <w:left w:val="single" w:color="000000" w:sz="4" w:space="0"/>
              <w:bottom w:val="single" w:color="000000" w:sz="4" w:space="0"/>
              <w:right w:val="single" w:color="000000" w:sz="4" w:space="0"/>
            </w:tcBorders>
            <w:vAlign w:val="center"/>
          </w:tcPr>
          <w:p>
            <w:pPr>
              <w:pStyle w:val="22"/>
              <w:adjustRightInd w:val="0"/>
              <w:snapToGrid w:val="0"/>
              <w:spacing w:line="400" w:lineRule="exact"/>
              <w:jc w:val="center"/>
              <w:rPr>
                <w:rFonts w:hint="eastAsia" w:ascii="宋体" w:hAnsi="宋体" w:cs="宋体"/>
                <w:highlight w:val="none"/>
              </w:rPr>
            </w:pPr>
            <w:r>
              <w:rPr>
                <w:rFonts w:hint="eastAsia" w:ascii="宋体" w:hAnsi="宋体" w:cs="宋体"/>
                <w:highlight w:val="none"/>
              </w:rPr>
              <w:t>投标报价</w:t>
            </w:r>
          </w:p>
          <w:p>
            <w:pPr>
              <w:pStyle w:val="22"/>
              <w:adjustRightInd w:val="0"/>
              <w:snapToGrid w:val="0"/>
              <w:spacing w:line="400" w:lineRule="exact"/>
              <w:jc w:val="center"/>
              <w:rPr>
                <w:rFonts w:hint="eastAsia" w:ascii="宋体" w:hAnsi="宋体" w:cs="宋体"/>
                <w:highlight w:val="none"/>
              </w:rPr>
            </w:pPr>
            <w:r>
              <w:rPr>
                <w:rFonts w:hint="eastAsia" w:ascii="宋体" w:hAnsi="宋体" w:cs="宋体"/>
                <w:highlight w:val="none"/>
              </w:rPr>
              <w:t>评分标准</w:t>
            </w:r>
          </w:p>
          <w:p>
            <w:pPr>
              <w:pStyle w:val="22"/>
              <w:adjustRightInd w:val="0"/>
              <w:snapToGrid w:val="0"/>
              <w:spacing w:line="400" w:lineRule="exact"/>
              <w:jc w:val="center"/>
              <w:rPr>
                <w:rFonts w:hint="eastAsia" w:ascii="宋体" w:hAnsi="宋体" w:cs="宋体"/>
                <w:b/>
                <w:highlight w:val="none"/>
              </w:rPr>
            </w:pPr>
            <w:r>
              <w:rPr>
                <w:rFonts w:hint="eastAsia" w:ascii="宋体" w:hAnsi="宋体" w:cs="宋体"/>
                <w:highlight w:val="none"/>
              </w:rPr>
              <w:t>（60分）</w:t>
            </w:r>
          </w:p>
          <w:p>
            <w:pPr>
              <w:pStyle w:val="22"/>
              <w:adjustRightInd w:val="0"/>
              <w:snapToGrid w:val="0"/>
              <w:spacing w:line="400" w:lineRule="exact"/>
              <w:jc w:val="center"/>
              <w:rPr>
                <w:rFonts w:hint="eastAsia" w:ascii="宋体" w:hAnsi="宋体" w:cs="宋体"/>
                <w:highlight w:val="none"/>
              </w:rPr>
            </w:pPr>
          </w:p>
        </w:tc>
        <w:tc>
          <w:tcPr>
            <w:tcW w:w="17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ind w:hanging="6"/>
              <w:jc w:val="center"/>
              <w:rPr>
                <w:rFonts w:hint="eastAsia" w:ascii="宋体" w:hAnsi="宋体" w:cs="宋体"/>
                <w:kern w:val="0"/>
                <w:szCs w:val="21"/>
                <w:highlight w:val="none"/>
              </w:rPr>
            </w:pPr>
            <w:r>
              <w:rPr>
                <w:rFonts w:hint="eastAsia" w:ascii="宋体" w:hAnsi="宋体" w:cs="宋体"/>
                <w:kern w:val="0"/>
                <w:szCs w:val="21"/>
                <w:highlight w:val="none"/>
              </w:rPr>
              <w:t>投标总报价</w:t>
            </w:r>
          </w:p>
          <w:p>
            <w:pPr>
              <w:autoSpaceDE w:val="0"/>
              <w:autoSpaceDN w:val="0"/>
              <w:adjustRightInd w:val="0"/>
              <w:snapToGrid w:val="0"/>
              <w:spacing w:line="400" w:lineRule="exact"/>
              <w:ind w:hanging="6"/>
              <w:jc w:val="center"/>
              <w:rPr>
                <w:rFonts w:hint="eastAsia" w:ascii="宋体" w:hAnsi="宋体" w:cs="宋体"/>
                <w:kern w:val="0"/>
                <w:szCs w:val="21"/>
                <w:highlight w:val="none"/>
              </w:rPr>
            </w:pPr>
            <w:r>
              <w:rPr>
                <w:rFonts w:hint="eastAsia" w:ascii="宋体" w:hAnsi="宋体" w:cs="宋体"/>
                <w:kern w:val="0"/>
                <w:szCs w:val="21"/>
                <w:highlight w:val="none"/>
              </w:rPr>
              <w:t>（60分）</w:t>
            </w:r>
          </w:p>
        </w:tc>
        <w:tc>
          <w:tcPr>
            <w:tcW w:w="5730" w:type="dxa"/>
            <w:tcBorders>
              <w:top w:val="single" w:color="000000" w:sz="4" w:space="0"/>
              <w:left w:val="single" w:color="000000" w:sz="4" w:space="0"/>
              <w:bottom w:val="single" w:color="000000" w:sz="4" w:space="0"/>
              <w:right w:val="single" w:color="000000" w:sz="4" w:space="0"/>
            </w:tcBorders>
            <w:vAlign w:val="top"/>
          </w:tcPr>
          <w:p>
            <w:pPr>
              <w:tabs>
                <w:tab w:val="left" w:pos="1620"/>
              </w:tabs>
              <w:adjustRightInd w:val="0"/>
              <w:snapToGrid w:val="0"/>
              <w:spacing w:line="400" w:lineRule="exact"/>
              <w:ind w:firstLine="491" w:firstLineChars="234"/>
              <w:rPr>
                <w:rFonts w:hint="eastAsia" w:ascii="宋体" w:hAnsi="宋体" w:eastAsia="宋体" w:cs="宋体"/>
                <w:sz w:val="21"/>
                <w:szCs w:val="21"/>
              </w:rPr>
            </w:pPr>
            <w:r>
              <w:rPr>
                <w:rFonts w:hint="eastAsia" w:ascii="宋体" w:hAnsi="宋体" w:eastAsia="宋体" w:cs="宋体"/>
                <w:sz w:val="21"/>
                <w:szCs w:val="21"/>
              </w:rPr>
              <w:t>所有通过初步评审的投标人的投标总报价与评标基准价相比，相等的得</w:t>
            </w:r>
            <w:r>
              <w:rPr>
                <w:rFonts w:hint="eastAsia" w:ascii="宋体" w:hAnsi="宋体" w:cs="宋体"/>
                <w:sz w:val="21"/>
                <w:szCs w:val="21"/>
                <w:lang w:val="en-US" w:eastAsia="zh-CN"/>
              </w:rPr>
              <w:t>6</w:t>
            </w:r>
            <w:r>
              <w:rPr>
                <w:rFonts w:hint="eastAsia" w:ascii="宋体" w:hAnsi="宋体" w:eastAsia="宋体" w:cs="宋体"/>
                <w:sz w:val="21"/>
                <w:szCs w:val="21"/>
              </w:rPr>
              <w:t>0分；在此基础上，</w:t>
            </w:r>
            <w:r>
              <w:rPr>
                <w:rFonts w:hint="eastAsia" w:ascii="宋体" w:hAnsi="宋体" w:cs="宋体"/>
                <w:sz w:val="21"/>
                <w:szCs w:val="21"/>
                <w:lang w:val="en-US" w:eastAsia="zh-CN"/>
              </w:rPr>
              <w:t>投标总报价</w:t>
            </w:r>
            <w:r>
              <w:rPr>
                <w:rFonts w:hint="eastAsia" w:ascii="宋体" w:hAnsi="宋体" w:eastAsia="宋体" w:cs="宋体"/>
                <w:sz w:val="21"/>
                <w:szCs w:val="21"/>
              </w:rPr>
              <w:t>每增加1%扣1分，</w:t>
            </w:r>
            <w:r>
              <w:rPr>
                <w:rFonts w:hint="eastAsia" w:ascii="宋体" w:hAnsi="宋体" w:cs="宋体"/>
                <w:sz w:val="21"/>
                <w:szCs w:val="21"/>
                <w:lang w:val="en-US" w:eastAsia="zh-CN"/>
              </w:rPr>
              <w:t>投标总报价</w:t>
            </w:r>
            <w:r>
              <w:rPr>
                <w:rFonts w:hint="eastAsia" w:ascii="宋体" w:hAnsi="宋体" w:eastAsia="宋体" w:cs="宋体"/>
                <w:sz w:val="21"/>
                <w:szCs w:val="21"/>
              </w:rPr>
              <w:t>每减少1%扣0.5分，</w:t>
            </w:r>
            <w:r>
              <w:rPr>
                <w:rFonts w:hint="eastAsia" w:ascii="宋体" w:hAnsi="宋体"/>
                <w:szCs w:val="21"/>
                <w:highlight w:val="none"/>
                <w:lang w:eastAsia="zh-CN"/>
              </w:rPr>
              <w:t>最多扣</w:t>
            </w:r>
            <w:r>
              <w:rPr>
                <w:rFonts w:hint="eastAsia" w:ascii="宋体" w:hAnsi="宋体"/>
                <w:szCs w:val="21"/>
                <w:highlight w:val="none"/>
                <w:lang w:val="en-US" w:eastAsia="zh-CN"/>
              </w:rPr>
              <w:t>5分</w:t>
            </w:r>
            <w:r>
              <w:rPr>
                <w:rFonts w:hint="eastAsia" w:ascii="宋体" w:hAnsi="宋体" w:eastAsia="宋体" w:cs="宋体"/>
                <w:sz w:val="21"/>
                <w:szCs w:val="21"/>
              </w:rPr>
              <w:t>。</w:t>
            </w:r>
          </w:p>
          <w:p>
            <w:pPr>
              <w:autoSpaceDE w:val="0"/>
              <w:autoSpaceDN w:val="0"/>
              <w:adjustRightInd w:val="0"/>
              <w:snapToGrid w:val="0"/>
              <w:spacing w:line="400" w:lineRule="exact"/>
              <w:ind w:firstLine="420" w:firstLineChars="200"/>
              <w:jc w:val="left"/>
              <w:rPr>
                <w:rFonts w:hint="eastAsia" w:ascii="宋体" w:hAnsi="宋体" w:cs="宋体"/>
                <w:kern w:val="0"/>
                <w:szCs w:val="21"/>
                <w:highlight w:val="none"/>
              </w:rPr>
            </w:pPr>
            <w:r>
              <w:rPr>
                <w:rFonts w:hint="eastAsia" w:ascii="宋体" w:hAnsi="宋体" w:eastAsia="宋体" w:cs="宋体"/>
                <w:sz w:val="21"/>
                <w:szCs w:val="21"/>
              </w:rPr>
              <w:t>按插入法计算得分，以上计算结果取小数点后两位，第三位四舍五入。</w:t>
            </w:r>
          </w:p>
        </w:tc>
      </w:tr>
      <w:tr>
        <w:tblPrEx>
          <w:tblLayout w:type="fixed"/>
          <w:tblCellMar>
            <w:top w:w="0" w:type="dxa"/>
            <w:left w:w="0" w:type="dxa"/>
            <w:bottom w:w="0" w:type="dxa"/>
            <w:right w:w="0" w:type="dxa"/>
          </w:tblCellMar>
        </w:tblPrEx>
        <w:trPr>
          <w:jc w:val="center"/>
        </w:trPr>
        <w:tc>
          <w:tcPr>
            <w:tcW w:w="2023" w:type="dxa"/>
            <w:gridSpan w:val="2"/>
            <w:tcBorders>
              <w:top w:val="single" w:color="000000" w:sz="4" w:space="0"/>
              <w:left w:val="single" w:color="000000" w:sz="4" w:space="0"/>
              <w:bottom w:val="single" w:color="000000" w:sz="4" w:space="0"/>
              <w:right w:val="single" w:color="000000" w:sz="4" w:space="0"/>
            </w:tcBorders>
            <w:vAlign w:val="center"/>
          </w:tcPr>
          <w:p>
            <w:pPr>
              <w:pStyle w:val="22"/>
              <w:adjustRightInd w:val="0"/>
              <w:snapToGrid w:val="0"/>
              <w:spacing w:line="400" w:lineRule="exact"/>
              <w:jc w:val="center"/>
              <w:rPr>
                <w:rFonts w:hint="eastAsia" w:ascii="宋体" w:hAnsi="宋体" w:cs="宋体"/>
                <w:highlight w:val="none"/>
              </w:rPr>
            </w:pPr>
            <w:r>
              <w:rPr>
                <w:rFonts w:hint="eastAsia" w:ascii="宋体" w:hAnsi="宋体" w:cs="宋体"/>
                <w:bCs/>
                <w:highlight w:val="none"/>
              </w:rPr>
              <w:t>3.评标程序</w:t>
            </w:r>
          </w:p>
        </w:tc>
        <w:tc>
          <w:tcPr>
            <w:tcW w:w="7526"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1.按照评标办法前附表2.1.1至2.1.3的规定对所有投标文件进行初步评审，只有通过初步评审的投标文件才能进行后续评审。</w:t>
            </w:r>
          </w:p>
          <w:p>
            <w:pPr>
              <w:adjustRightInd w:val="0"/>
              <w:snapToGrid w:val="0"/>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2.对初步评审合格的投标人按照本附表第2.2.4（1）目规定的评分方法对商务部分进行评分。</w:t>
            </w:r>
          </w:p>
          <w:p>
            <w:pPr>
              <w:adjustRightInd w:val="0"/>
              <w:snapToGrid w:val="0"/>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3.对初步评审合格的投标人按照本附表第2.2.4（2）目规定的评分方法对技术部分进行评分。</w:t>
            </w:r>
          </w:p>
          <w:p>
            <w:pPr>
              <w:adjustRightInd w:val="0"/>
              <w:snapToGrid w:val="0"/>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4.对初步评审合格的投标人按照本章第2.2.2项计算方法计算评标基准价，并按本附表第2.2.4（3）目规定的评分方法对投标总报价进行评分。</w:t>
            </w:r>
          </w:p>
          <w:p>
            <w:pPr>
              <w:adjustRightInd w:val="0"/>
              <w:snapToGrid w:val="0"/>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5.对技术部分、商务部分、投标总报价得分进行汇总，确定得分由高至低前三名投标人为中标候选人。</w:t>
            </w:r>
          </w:p>
          <w:p>
            <w:pPr>
              <w:adjustRightInd w:val="0"/>
              <w:snapToGrid w:val="0"/>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6.因评标委员会作否决投标处理导致有效投标人不足三个的，评标委员会应当否决所有投标。但是有效投标人的经济、技术等指标仍然具有市场竞争力，能够满足招标文件要求的，评标委员会可以继续评标并确定中标候选人。</w:t>
            </w:r>
          </w:p>
        </w:tc>
      </w:tr>
      <w:tr>
        <w:tblPrEx>
          <w:tblLayout w:type="fixed"/>
          <w:tblCellMar>
            <w:top w:w="0" w:type="dxa"/>
            <w:left w:w="0" w:type="dxa"/>
            <w:bottom w:w="0" w:type="dxa"/>
            <w:right w:w="0" w:type="dxa"/>
          </w:tblCellMar>
        </w:tblPrEx>
        <w:trPr>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18" w:firstLineChars="9"/>
              <w:jc w:val="center"/>
              <w:rPr>
                <w:rFonts w:hint="eastAsia" w:ascii="宋体" w:hAnsi="宋体" w:cs="宋体"/>
                <w:szCs w:val="21"/>
                <w:highlight w:val="none"/>
              </w:rPr>
            </w:pPr>
            <w:r>
              <w:rPr>
                <w:rFonts w:ascii="宋体" w:hAnsi="宋体"/>
                <w:szCs w:val="21"/>
                <w:highlight w:val="none"/>
              </w:rPr>
              <w:t>3.2.3</w:t>
            </w:r>
          </w:p>
        </w:tc>
        <w:tc>
          <w:tcPr>
            <w:tcW w:w="112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18" w:firstLineChars="9"/>
              <w:jc w:val="center"/>
              <w:rPr>
                <w:rFonts w:hint="eastAsia" w:ascii="宋体" w:hAnsi="宋体" w:cs="宋体"/>
                <w:szCs w:val="21"/>
                <w:highlight w:val="none"/>
              </w:rPr>
            </w:pPr>
            <w:r>
              <w:rPr>
                <w:rFonts w:ascii="宋体" w:hAnsi="宋体"/>
                <w:szCs w:val="21"/>
                <w:highlight w:val="none"/>
              </w:rPr>
              <w:t>投标人得分</w:t>
            </w:r>
          </w:p>
        </w:tc>
        <w:tc>
          <w:tcPr>
            <w:tcW w:w="752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ind w:firstLine="420" w:firstLineChars="200"/>
              <w:jc w:val="left"/>
              <w:rPr>
                <w:rFonts w:hint="eastAsia" w:ascii="宋体" w:hAnsi="宋体" w:cs="宋体"/>
                <w:kern w:val="0"/>
                <w:szCs w:val="21"/>
                <w:highlight w:val="none"/>
              </w:rPr>
            </w:pPr>
            <w:r>
              <w:rPr>
                <w:rFonts w:ascii="宋体" w:hAnsi="宋体"/>
                <w:szCs w:val="21"/>
                <w:highlight w:val="none"/>
                <w:u w:val="single"/>
              </w:rPr>
              <w:t>投标人得分=A+B</w:t>
            </w:r>
            <w:r>
              <w:rPr>
                <w:rFonts w:hint="eastAsia" w:ascii="宋体" w:hAnsi="宋体"/>
                <w:szCs w:val="21"/>
                <w:highlight w:val="none"/>
                <w:u w:val="single"/>
              </w:rPr>
              <w:t>+C</w:t>
            </w:r>
          </w:p>
        </w:tc>
      </w:tr>
    </w:tbl>
    <w:p>
      <w:pPr>
        <w:pStyle w:val="18"/>
        <w:snapToGrid w:val="0"/>
        <w:spacing w:before="0" w:beforeLines="0" w:after="0" w:afterLines="0"/>
        <w:rPr>
          <w:rFonts w:hint="eastAsia" w:ascii="宋体" w:hAnsi="宋体" w:cs="宋体"/>
          <w:snapToGrid w:val="0"/>
          <w:kern w:val="0"/>
          <w:sz w:val="21"/>
          <w:szCs w:val="21"/>
          <w:highlight w:val="none"/>
        </w:rPr>
      </w:pPr>
      <w:r>
        <w:rPr>
          <w:rFonts w:hint="eastAsia"/>
          <w:highlight w:val="none"/>
        </w:rPr>
        <w:br w:type="page"/>
      </w:r>
      <w:bookmarkStart w:id="125" w:name="_Toc32200"/>
      <w:bookmarkStart w:id="126" w:name="_Toc26023"/>
      <w:bookmarkStart w:id="127" w:name="_Toc10321"/>
      <w:bookmarkStart w:id="128" w:name="_Toc24696"/>
      <w:bookmarkStart w:id="129" w:name="_Toc24956"/>
      <w:bookmarkStart w:id="130" w:name="_Toc15304"/>
      <w:r>
        <w:rPr>
          <w:rFonts w:hint="eastAsia" w:ascii="宋体" w:hAnsi="宋体" w:cs="宋体"/>
          <w:snapToGrid w:val="0"/>
          <w:kern w:val="0"/>
          <w:sz w:val="21"/>
          <w:szCs w:val="21"/>
          <w:highlight w:val="none"/>
        </w:rPr>
        <w:t>1. 评标方法</w:t>
      </w:r>
      <w:bookmarkEnd w:id="125"/>
      <w:bookmarkEnd w:id="126"/>
      <w:bookmarkEnd w:id="127"/>
      <w:bookmarkEnd w:id="128"/>
      <w:bookmarkEnd w:id="129"/>
      <w:bookmarkEnd w:id="130"/>
    </w:p>
    <w:p>
      <w:pPr>
        <w:autoSpaceDE w:val="0"/>
        <w:autoSpaceDN w:val="0"/>
        <w:snapToGrid w:val="0"/>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技术部分得分高的优先；如果技术部分得分也相等，按评标办法前附表要求确定。</w:t>
      </w:r>
    </w:p>
    <w:p>
      <w:pPr>
        <w:pStyle w:val="18"/>
        <w:snapToGrid w:val="0"/>
        <w:spacing w:before="0" w:beforeLines="0" w:after="0" w:afterLines="0"/>
        <w:rPr>
          <w:rFonts w:hint="eastAsia" w:ascii="宋体" w:hAnsi="宋体" w:cs="宋体"/>
          <w:snapToGrid w:val="0"/>
          <w:kern w:val="0"/>
          <w:sz w:val="21"/>
          <w:szCs w:val="21"/>
          <w:highlight w:val="none"/>
        </w:rPr>
      </w:pPr>
      <w:bookmarkStart w:id="131" w:name="_Toc23993"/>
      <w:bookmarkStart w:id="132" w:name="_Toc32520"/>
      <w:bookmarkStart w:id="133" w:name="_Toc8780"/>
      <w:bookmarkStart w:id="134" w:name="_Toc4531"/>
      <w:bookmarkStart w:id="135" w:name="_Toc15986"/>
      <w:bookmarkStart w:id="136" w:name="_Toc31100"/>
      <w:r>
        <w:rPr>
          <w:rFonts w:hint="eastAsia" w:ascii="宋体" w:hAnsi="宋体" w:cs="宋体"/>
          <w:snapToGrid w:val="0"/>
          <w:kern w:val="0"/>
          <w:sz w:val="21"/>
          <w:szCs w:val="21"/>
          <w:highlight w:val="none"/>
        </w:rPr>
        <w:t>2. 评审标准</w:t>
      </w:r>
      <w:bookmarkEnd w:id="131"/>
      <w:bookmarkEnd w:id="132"/>
      <w:bookmarkEnd w:id="133"/>
      <w:bookmarkEnd w:id="134"/>
      <w:bookmarkEnd w:id="135"/>
      <w:bookmarkEnd w:id="136"/>
    </w:p>
    <w:p>
      <w:pPr>
        <w:autoSpaceDE w:val="0"/>
        <w:autoSpaceDN w:val="0"/>
        <w:snapToGrid w:val="0"/>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2.1 初步评审标准</w:t>
      </w:r>
    </w:p>
    <w:p>
      <w:pPr>
        <w:autoSpaceDE w:val="0"/>
        <w:autoSpaceDN w:val="0"/>
        <w:snapToGrid w:val="0"/>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2.1.1 形式评审标准：见评标办法前附表。</w:t>
      </w:r>
    </w:p>
    <w:p>
      <w:pPr>
        <w:autoSpaceDE w:val="0"/>
        <w:autoSpaceDN w:val="0"/>
        <w:snapToGrid w:val="0"/>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2.1.2 资格评审标准：见评标办法前附表。</w:t>
      </w:r>
    </w:p>
    <w:p>
      <w:pPr>
        <w:autoSpaceDE w:val="0"/>
        <w:autoSpaceDN w:val="0"/>
        <w:snapToGrid w:val="0"/>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2.1.3 响应性评审标准：见评标办法前附表。</w:t>
      </w:r>
    </w:p>
    <w:p>
      <w:pPr>
        <w:autoSpaceDE w:val="0"/>
        <w:autoSpaceDN w:val="0"/>
        <w:snapToGrid w:val="0"/>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2.2 分值构成与评分标准</w:t>
      </w:r>
    </w:p>
    <w:p>
      <w:pPr>
        <w:autoSpaceDE w:val="0"/>
        <w:autoSpaceDN w:val="0"/>
        <w:snapToGrid w:val="0"/>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2.2.1 分值构成</w:t>
      </w:r>
    </w:p>
    <w:p>
      <w:pPr>
        <w:autoSpaceDE w:val="0"/>
        <w:autoSpaceDN w:val="0"/>
        <w:snapToGrid w:val="0"/>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（1）商务部分：见评标办法前附表；</w:t>
      </w:r>
    </w:p>
    <w:p>
      <w:pPr>
        <w:autoSpaceDE w:val="0"/>
        <w:autoSpaceDN w:val="0"/>
        <w:snapToGrid w:val="0"/>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（2）技术部分：见评标办法前附表；</w:t>
      </w:r>
    </w:p>
    <w:p>
      <w:pPr>
        <w:autoSpaceDE w:val="0"/>
        <w:autoSpaceDN w:val="0"/>
        <w:snapToGrid w:val="0"/>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（3）投标报价：见评标办法前附表；</w:t>
      </w:r>
    </w:p>
    <w:p>
      <w:pPr>
        <w:autoSpaceDE w:val="0"/>
        <w:autoSpaceDN w:val="0"/>
        <w:snapToGrid w:val="0"/>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2.2.2 评标基准价计算方法：见评标办法前附表。</w:t>
      </w:r>
    </w:p>
    <w:p>
      <w:pPr>
        <w:autoSpaceDE w:val="0"/>
        <w:autoSpaceDN w:val="0"/>
        <w:snapToGrid w:val="0"/>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2.2.3 投标报价的偏差率计算公式：见评标办法前附表。</w:t>
      </w:r>
    </w:p>
    <w:p>
      <w:pPr>
        <w:autoSpaceDE w:val="0"/>
        <w:autoSpaceDN w:val="0"/>
        <w:snapToGrid w:val="0"/>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2.2.4 评分标准</w:t>
      </w:r>
    </w:p>
    <w:p>
      <w:pPr>
        <w:autoSpaceDE w:val="0"/>
        <w:autoSpaceDN w:val="0"/>
        <w:snapToGrid w:val="0"/>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（1）商务部分评分标准：见评标办法前附表；</w:t>
      </w:r>
    </w:p>
    <w:p>
      <w:pPr>
        <w:autoSpaceDE w:val="0"/>
        <w:autoSpaceDN w:val="0"/>
        <w:snapToGrid w:val="0"/>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（2）技术部分评分标准：见评标办法前附表；</w:t>
      </w:r>
    </w:p>
    <w:p>
      <w:pPr>
        <w:autoSpaceDE w:val="0"/>
        <w:autoSpaceDN w:val="0"/>
        <w:snapToGrid w:val="0"/>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（3）投标报价评分标准：见评标办法前附表；</w:t>
      </w:r>
    </w:p>
    <w:p>
      <w:pPr>
        <w:pStyle w:val="18"/>
        <w:snapToGrid w:val="0"/>
        <w:spacing w:before="0" w:beforeLines="0" w:after="0" w:afterLines="0"/>
        <w:rPr>
          <w:rFonts w:hint="eastAsia" w:ascii="宋体" w:hAnsi="宋体" w:cs="宋体"/>
          <w:snapToGrid w:val="0"/>
          <w:kern w:val="0"/>
          <w:sz w:val="21"/>
          <w:szCs w:val="21"/>
          <w:highlight w:val="none"/>
        </w:rPr>
      </w:pPr>
      <w:bookmarkStart w:id="137" w:name="_Toc2401"/>
      <w:bookmarkStart w:id="138" w:name="_Toc32610"/>
      <w:bookmarkStart w:id="139" w:name="_Toc31841"/>
      <w:bookmarkStart w:id="140" w:name="_Toc17045"/>
      <w:bookmarkStart w:id="141" w:name="_Toc25434"/>
      <w:bookmarkStart w:id="142" w:name="_Toc23658"/>
      <w:r>
        <w:rPr>
          <w:rFonts w:hint="eastAsia" w:ascii="宋体" w:hAnsi="宋体" w:cs="宋体"/>
          <w:snapToGrid w:val="0"/>
          <w:kern w:val="0"/>
          <w:sz w:val="21"/>
          <w:szCs w:val="21"/>
          <w:highlight w:val="none"/>
        </w:rPr>
        <w:t>3. 评标程序</w:t>
      </w:r>
      <w:bookmarkEnd w:id="137"/>
      <w:bookmarkEnd w:id="138"/>
      <w:bookmarkEnd w:id="139"/>
      <w:bookmarkEnd w:id="140"/>
      <w:bookmarkEnd w:id="141"/>
      <w:bookmarkEnd w:id="142"/>
    </w:p>
    <w:p>
      <w:pPr>
        <w:autoSpaceDE w:val="0"/>
        <w:autoSpaceDN w:val="0"/>
        <w:snapToGrid w:val="0"/>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3.1 初步评审</w:t>
      </w:r>
    </w:p>
    <w:p>
      <w:pPr>
        <w:autoSpaceDE w:val="0"/>
        <w:autoSpaceDN w:val="0"/>
        <w:snapToGrid w:val="0"/>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3.1.1 评标委员会依据本章第2.1款规定的标准对投标文件进行初步评审。有一项不符合评审标准的，评标委员会应当否决其投标。</w:t>
      </w:r>
    </w:p>
    <w:p>
      <w:pPr>
        <w:autoSpaceDE w:val="0"/>
        <w:autoSpaceDN w:val="0"/>
        <w:snapToGrid w:val="0"/>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3.1.2 投标人有以下情形之一的，评标委员会应当否决其投标：</w:t>
      </w:r>
    </w:p>
    <w:p>
      <w:pPr>
        <w:autoSpaceDE w:val="0"/>
        <w:autoSpaceDN w:val="0"/>
        <w:snapToGrid w:val="0"/>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（1）投标文件没有对招标文件的实质性要求和条件作出响应，或者对招标文件的偏差超出招标文件规定的偏差范围或最高项数；</w:t>
      </w:r>
    </w:p>
    <w:p>
      <w:pPr>
        <w:autoSpaceDE w:val="0"/>
        <w:autoSpaceDN w:val="0"/>
        <w:snapToGrid w:val="0"/>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（2）有串通投标、弄虚作假、行贿等违法行为。</w:t>
      </w:r>
    </w:p>
    <w:p>
      <w:pPr>
        <w:autoSpaceDE w:val="0"/>
        <w:autoSpaceDN w:val="0"/>
        <w:snapToGrid w:val="0"/>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3.1.3 投标报价有算术错误及其他错误的，评标委员会按以下原则要求投标人对投标报价进行修正，并要求投标人书面澄清确认。投标人拒不澄清确认的，评标委员会应当否决其投标：</w:t>
      </w:r>
    </w:p>
    <w:p>
      <w:pPr>
        <w:autoSpaceDE w:val="0"/>
        <w:autoSpaceDN w:val="0"/>
        <w:snapToGrid w:val="0"/>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（1）投标文件中的大写金额与小写金额不一致的，以大写金额为准；</w:t>
      </w:r>
    </w:p>
    <w:p>
      <w:pPr>
        <w:autoSpaceDE w:val="0"/>
        <w:autoSpaceDN w:val="0"/>
        <w:snapToGrid w:val="0"/>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（2）总价金额与依据单价计算出的结果不一致的，以单价金额为准修正总价，但单价金额小数点有明显错误的除外；</w:t>
      </w:r>
    </w:p>
    <w:p>
      <w:pPr>
        <w:autoSpaceDE w:val="0"/>
        <w:autoSpaceDN w:val="0"/>
        <w:snapToGrid w:val="0"/>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（3）投标费率与投标总价之间不一致时，应以投标费率为准，并修正投标总价。</w:t>
      </w:r>
    </w:p>
    <w:p>
      <w:pPr>
        <w:autoSpaceDE w:val="0"/>
        <w:autoSpaceDN w:val="0"/>
        <w:snapToGrid w:val="0"/>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3.2 详细评审</w:t>
      </w:r>
    </w:p>
    <w:p>
      <w:pPr>
        <w:autoSpaceDE w:val="0"/>
        <w:autoSpaceDN w:val="0"/>
        <w:snapToGrid w:val="0"/>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3.2.1 评标委员会按本章第2.2款规定的量化因素和分值进行打分，并计算出综合评估得分。</w:t>
      </w:r>
    </w:p>
    <w:p>
      <w:pPr>
        <w:autoSpaceDE w:val="0"/>
        <w:autoSpaceDN w:val="0"/>
        <w:snapToGrid w:val="0"/>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（1）按本章第2.2.4（1）目规定的评审因素和分值对商务部分计算出得分A；</w:t>
      </w:r>
    </w:p>
    <w:p>
      <w:pPr>
        <w:autoSpaceDE w:val="0"/>
        <w:autoSpaceDN w:val="0"/>
        <w:snapToGrid w:val="0"/>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（2）按本章第2.2.4（2）目规定的评审因素和分值对技术部分计算出得分B；</w:t>
      </w:r>
    </w:p>
    <w:p>
      <w:pPr>
        <w:autoSpaceDE w:val="0"/>
        <w:autoSpaceDN w:val="0"/>
        <w:snapToGrid w:val="0"/>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（3）按本章第2.2.4（3）目规定的评审因素和分值对投标报价计算出得分C；</w:t>
      </w:r>
    </w:p>
    <w:p>
      <w:pPr>
        <w:autoSpaceDE w:val="0"/>
        <w:autoSpaceDN w:val="0"/>
        <w:snapToGrid w:val="0"/>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3.2.2 评分分值计算保留小数点后两位，小数点后第三位“四舍五入”。</w:t>
      </w:r>
    </w:p>
    <w:p>
      <w:pPr>
        <w:autoSpaceDE w:val="0"/>
        <w:autoSpaceDN w:val="0"/>
        <w:snapToGrid w:val="0"/>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3.2.3 投标人得分=A+B+C。</w:t>
      </w:r>
    </w:p>
    <w:p>
      <w:pPr>
        <w:autoSpaceDE w:val="0"/>
        <w:autoSpaceDN w:val="0"/>
        <w:snapToGrid w:val="0"/>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autoSpaceDE w:val="0"/>
        <w:autoSpaceDN w:val="0"/>
        <w:snapToGrid w:val="0"/>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3.3 投标文件的澄清</w:t>
      </w:r>
    </w:p>
    <w:p>
      <w:pPr>
        <w:autoSpaceDE w:val="0"/>
        <w:autoSpaceDN w:val="0"/>
        <w:snapToGrid w:val="0"/>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3.3.1 在评标过程中，评标委员会可以书面形式要求投标人对投标文件中含义不明确、对同</w:t>
      </w:r>
      <w:r>
        <w:rPr>
          <w:rFonts w:hint="eastAsia" w:ascii="宋体" w:hAnsi="宋体" w:cs="宋体"/>
          <w:snapToGrid w:val="0"/>
          <w:kern w:val="0"/>
          <w:position w:val="-1"/>
          <w:szCs w:val="21"/>
          <w:highlight w:val="none"/>
        </w:rPr>
        <w:t>类问题表述不一致或者有明显文字和计算错误的内容作必要的澄清、说明或补正。澄清、说明</w:t>
      </w:r>
    </w:p>
    <w:p>
      <w:pPr>
        <w:autoSpaceDE w:val="0"/>
        <w:autoSpaceDN w:val="0"/>
        <w:snapToGrid w:val="0"/>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或补正应以书面方式进行。评标委员会不接受投标人主动提出的澄清、说明或补正。</w:t>
      </w:r>
    </w:p>
    <w:p>
      <w:pPr>
        <w:autoSpaceDE w:val="0"/>
        <w:autoSpaceDN w:val="0"/>
        <w:snapToGrid w:val="0"/>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3.3.2 澄清、说明或补正不得超出投标文件的范围且不得改变投标文件的实质性内容，并构成投标文件的组成部分。</w:t>
      </w:r>
    </w:p>
    <w:p>
      <w:pPr>
        <w:autoSpaceDE w:val="0"/>
        <w:autoSpaceDN w:val="0"/>
        <w:snapToGrid w:val="0"/>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3.3.3 评标委员会对投标人提交的澄清、说明或补正有疑问的，可以要求投标人进一步澄清、说明或补正，直至满足评标委员会的要求。</w:t>
      </w:r>
    </w:p>
    <w:p>
      <w:pPr>
        <w:autoSpaceDE w:val="0"/>
        <w:autoSpaceDN w:val="0"/>
        <w:snapToGrid w:val="0"/>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3.4 评标结果</w:t>
      </w:r>
    </w:p>
    <w:p>
      <w:pPr>
        <w:autoSpaceDE w:val="0"/>
        <w:autoSpaceDN w:val="0"/>
        <w:snapToGrid w:val="0"/>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3.4.1 除第二章“投标人须知”前附表授权直接确定中标人外，评标委员会按照得分由高到低的顺序推荐中标候选人，并标明排序。</w:t>
      </w:r>
    </w:p>
    <w:p>
      <w:pPr>
        <w:autoSpaceDE w:val="0"/>
        <w:autoSpaceDN w:val="0"/>
        <w:snapToGrid w:val="0"/>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3.4.2 评标委员会完成评标后，应当向招标人提交书面评标报告和中标候选人名单。</w:t>
      </w:r>
    </w:p>
    <w:p>
      <w:pPr>
        <w:widowControl/>
        <w:adjustRightInd w:val="0"/>
        <w:snapToGrid w:val="0"/>
        <w:spacing w:line="360" w:lineRule="auto"/>
        <w:jc w:val="center"/>
        <w:rPr>
          <w:rFonts w:hint="eastAsia" w:ascii="宋体" w:hAnsi="宋体" w:cs="宋体"/>
          <w:sz w:val="32"/>
          <w:szCs w:val="32"/>
          <w:highlight w:val="none"/>
        </w:rPr>
      </w:pPr>
      <w:r>
        <w:rPr>
          <w:rFonts w:hint="eastAsia" w:ascii="宋体" w:hAnsi="宋体" w:cs="宋体"/>
          <w:kern w:val="0"/>
          <w:szCs w:val="21"/>
          <w:highlight w:val="none"/>
        </w:rPr>
        <w:br w:type="page"/>
      </w:r>
      <w:r>
        <w:rPr>
          <w:rFonts w:hint="eastAsia" w:ascii="宋体" w:hAnsi="宋体" w:cs="宋体"/>
          <w:sz w:val="32"/>
          <w:szCs w:val="32"/>
          <w:highlight w:val="none"/>
        </w:rPr>
        <w:t>附件A：综合评估法否决投标情况一览表</w:t>
      </w:r>
    </w:p>
    <w:tbl>
      <w:tblPr>
        <w:tblStyle w:val="15"/>
        <w:tblW w:w="958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85"/>
        <w:gridCol w:w="1665"/>
        <w:gridCol w:w="64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8" w:hRule="atLeast"/>
          <w:jc w:val="center"/>
        </w:trPr>
        <w:tc>
          <w:tcPr>
            <w:tcW w:w="1485" w:type="dxa"/>
            <w:vAlign w:val="center"/>
          </w:tcPr>
          <w:p>
            <w:pPr>
              <w:adjustRightInd w:val="0"/>
              <w:snapToGrid w:val="0"/>
              <w:spacing w:line="400" w:lineRule="exact"/>
              <w:jc w:val="center"/>
              <w:rPr>
                <w:rFonts w:hint="eastAsia" w:ascii="宋体" w:hAnsi="宋体" w:cs="宋体"/>
                <w:b/>
                <w:highlight w:val="none"/>
              </w:rPr>
            </w:pPr>
            <w:r>
              <w:rPr>
                <w:rFonts w:hint="eastAsia" w:ascii="宋体" w:hAnsi="宋体" w:cs="宋体"/>
                <w:b/>
                <w:highlight w:val="none"/>
              </w:rPr>
              <w:t>招标文件</w:t>
            </w:r>
          </w:p>
          <w:p>
            <w:pPr>
              <w:adjustRightInd w:val="0"/>
              <w:snapToGrid w:val="0"/>
              <w:spacing w:line="400" w:lineRule="exact"/>
              <w:jc w:val="center"/>
              <w:rPr>
                <w:rFonts w:hint="eastAsia" w:ascii="宋体" w:hAnsi="宋体" w:cs="宋体"/>
                <w:b/>
                <w:highlight w:val="none"/>
              </w:rPr>
            </w:pPr>
            <w:r>
              <w:rPr>
                <w:rFonts w:hint="eastAsia" w:ascii="宋体" w:hAnsi="宋体" w:cs="宋体"/>
                <w:b/>
                <w:highlight w:val="none"/>
              </w:rPr>
              <w:t>章节号</w:t>
            </w:r>
          </w:p>
        </w:tc>
        <w:tc>
          <w:tcPr>
            <w:tcW w:w="1665" w:type="dxa"/>
            <w:vAlign w:val="center"/>
          </w:tcPr>
          <w:p>
            <w:pPr>
              <w:adjustRightInd w:val="0"/>
              <w:snapToGrid w:val="0"/>
              <w:spacing w:line="400" w:lineRule="exact"/>
              <w:jc w:val="center"/>
              <w:rPr>
                <w:rFonts w:hint="eastAsia" w:ascii="宋体" w:hAnsi="宋体" w:cs="宋体"/>
                <w:b/>
                <w:highlight w:val="none"/>
              </w:rPr>
            </w:pPr>
            <w:r>
              <w:rPr>
                <w:rFonts w:hint="eastAsia" w:ascii="宋体" w:hAnsi="宋体" w:cs="宋体"/>
                <w:b/>
                <w:highlight w:val="none"/>
              </w:rPr>
              <w:t>条款名称</w:t>
            </w:r>
          </w:p>
        </w:tc>
        <w:tc>
          <w:tcPr>
            <w:tcW w:w="6435" w:type="dxa"/>
            <w:vAlign w:val="center"/>
          </w:tcPr>
          <w:p>
            <w:pPr>
              <w:adjustRightInd w:val="0"/>
              <w:snapToGrid w:val="0"/>
              <w:spacing w:line="400" w:lineRule="exact"/>
              <w:jc w:val="center"/>
              <w:rPr>
                <w:rFonts w:hint="eastAsia" w:ascii="宋体" w:hAnsi="宋体" w:cs="宋体"/>
                <w:b/>
                <w:highlight w:val="none"/>
              </w:rPr>
            </w:pPr>
            <w:r>
              <w:rPr>
                <w:rFonts w:hint="eastAsia" w:ascii="宋体" w:hAnsi="宋体" w:cs="宋体"/>
                <w:b/>
                <w:highlight w:val="none"/>
              </w:rPr>
              <w:t>否决投标条件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485" w:type="dxa"/>
            <w:vAlign w:val="center"/>
          </w:tcPr>
          <w:p>
            <w:pPr>
              <w:adjustRightInd w:val="0"/>
              <w:snapToGrid w:val="0"/>
              <w:spacing w:line="360" w:lineRule="auto"/>
              <w:jc w:val="center"/>
              <w:rPr>
                <w:rFonts w:hint="eastAsia" w:ascii="宋体" w:hAnsi="宋体" w:cs="宋体"/>
                <w:highlight w:val="none"/>
              </w:rPr>
            </w:pPr>
            <w:r>
              <w:rPr>
                <w:rFonts w:hint="eastAsia" w:ascii="宋体" w:hAnsi="宋体" w:cs="宋体"/>
                <w:highlight w:val="none"/>
              </w:rPr>
              <w:t>第二章3.2.3</w:t>
            </w:r>
          </w:p>
        </w:tc>
        <w:tc>
          <w:tcPr>
            <w:tcW w:w="1665" w:type="dxa"/>
            <w:vAlign w:val="center"/>
          </w:tcPr>
          <w:p>
            <w:pPr>
              <w:adjustRightInd w:val="0"/>
              <w:snapToGrid w:val="0"/>
              <w:spacing w:beforeLines="0" w:line="400" w:lineRule="exact"/>
              <w:jc w:val="center"/>
              <w:rPr>
                <w:rFonts w:hint="eastAsia" w:ascii="宋体" w:hAnsi="宋体" w:cs="宋体"/>
                <w:highlight w:val="none"/>
              </w:rPr>
            </w:pPr>
            <w:r>
              <w:rPr>
                <w:rFonts w:hint="eastAsia" w:ascii="宋体" w:hAnsi="宋体" w:cs="宋体"/>
                <w:highlight w:val="none"/>
              </w:rPr>
              <w:t>投标报价</w:t>
            </w:r>
          </w:p>
        </w:tc>
        <w:tc>
          <w:tcPr>
            <w:tcW w:w="6435" w:type="dxa"/>
            <w:vAlign w:val="center"/>
          </w:tcPr>
          <w:p>
            <w:pPr>
              <w:spacing w:before="0" w:beforeLines="0" w:line="400" w:lineRule="exact"/>
              <w:rPr>
                <w:rFonts w:hint="eastAsia" w:ascii="宋体" w:hAnsi="宋体" w:cs="宋体"/>
                <w:highlight w:val="none"/>
              </w:rPr>
            </w:pPr>
            <w:r>
              <w:rPr>
                <w:rFonts w:hint="eastAsia" w:ascii="宋体" w:hAnsi="宋体" w:cs="宋体"/>
                <w:szCs w:val="21"/>
                <w:highlight w:val="none"/>
              </w:rPr>
              <w:t>投标人的投标总报价不得超过最高限价，否则其投标将被否决。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85" w:type="dxa"/>
            <w:vAlign w:val="center"/>
          </w:tcPr>
          <w:p>
            <w:pPr>
              <w:adjustRightInd w:val="0"/>
              <w:snapToGrid w:val="0"/>
              <w:spacing w:line="360" w:lineRule="auto"/>
              <w:jc w:val="center"/>
              <w:rPr>
                <w:rFonts w:hint="eastAsia" w:ascii="宋体" w:hAnsi="宋体" w:cs="宋体"/>
                <w:highlight w:val="none"/>
              </w:rPr>
            </w:pPr>
            <w:r>
              <w:rPr>
                <w:rFonts w:hint="eastAsia" w:ascii="宋体" w:hAnsi="宋体" w:cs="宋体"/>
                <w:highlight w:val="none"/>
              </w:rPr>
              <w:t>第二章3.4</w:t>
            </w:r>
          </w:p>
        </w:tc>
        <w:tc>
          <w:tcPr>
            <w:tcW w:w="1665" w:type="dxa"/>
            <w:vAlign w:val="center"/>
          </w:tcPr>
          <w:p>
            <w:pPr>
              <w:adjustRightInd w:val="0"/>
              <w:snapToGrid w:val="0"/>
              <w:spacing w:beforeLines="0" w:line="400" w:lineRule="exact"/>
              <w:jc w:val="center"/>
              <w:rPr>
                <w:rFonts w:hint="eastAsia" w:ascii="宋体" w:hAnsi="宋体" w:cs="宋体"/>
                <w:highlight w:val="none"/>
              </w:rPr>
            </w:pPr>
            <w:r>
              <w:rPr>
                <w:rFonts w:hint="eastAsia" w:ascii="宋体" w:hAnsi="宋体" w:cs="宋体"/>
                <w:highlight w:val="none"/>
              </w:rPr>
              <w:t>投标保证金</w:t>
            </w:r>
          </w:p>
        </w:tc>
        <w:tc>
          <w:tcPr>
            <w:tcW w:w="6435" w:type="dxa"/>
            <w:vAlign w:val="center"/>
          </w:tcPr>
          <w:p>
            <w:pPr>
              <w:spacing w:beforeLines="0" w:line="400" w:lineRule="exact"/>
              <w:rPr>
                <w:rFonts w:hint="eastAsia" w:ascii="宋体" w:hAnsi="宋体" w:cs="宋体"/>
                <w:highlight w:val="none"/>
              </w:rPr>
            </w:pPr>
            <w:r>
              <w:rPr>
                <w:rFonts w:hint="eastAsia" w:ascii="宋体" w:hAnsi="宋体" w:cs="宋体"/>
                <w:highlight w:val="none"/>
              </w:rPr>
              <w:t>投标人不按本章第 3.4.1 项要求提交投标保证金的，评标委员会将否决其投标。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85" w:type="dxa"/>
            <w:vAlign w:val="center"/>
          </w:tcPr>
          <w:p>
            <w:pPr>
              <w:adjustRightInd w:val="0"/>
              <w:snapToGrid w:val="0"/>
              <w:spacing w:line="360" w:lineRule="auto"/>
              <w:jc w:val="center"/>
              <w:rPr>
                <w:rFonts w:hint="eastAsia" w:ascii="宋体" w:hAnsi="宋体" w:cs="宋体"/>
                <w:highlight w:val="none"/>
              </w:rPr>
            </w:pPr>
            <w:r>
              <w:rPr>
                <w:rFonts w:hint="eastAsia" w:ascii="宋体" w:hAnsi="宋体" w:cs="宋体"/>
                <w:highlight w:val="none"/>
              </w:rPr>
              <w:t>第二章3.6</w:t>
            </w:r>
          </w:p>
        </w:tc>
        <w:tc>
          <w:tcPr>
            <w:tcW w:w="1665" w:type="dxa"/>
            <w:vAlign w:val="center"/>
          </w:tcPr>
          <w:p>
            <w:pPr>
              <w:adjustRightInd w:val="0"/>
              <w:snapToGrid w:val="0"/>
              <w:spacing w:beforeLines="0" w:line="400" w:lineRule="exact"/>
              <w:jc w:val="center"/>
              <w:rPr>
                <w:rFonts w:hint="eastAsia" w:ascii="宋体" w:hAnsi="宋体" w:cs="宋体"/>
                <w:highlight w:val="none"/>
              </w:rPr>
            </w:pPr>
            <w:r>
              <w:rPr>
                <w:rFonts w:hint="eastAsia" w:ascii="宋体" w:hAnsi="宋体" w:cs="宋体"/>
                <w:highlight w:val="none"/>
              </w:rPr>
              <w:t>备选方案</w:t>
            </w:r>
          </w:p>
        </w:tc>
        <w:tc>
          <w:tcPr>
            <w:tcW w:w="6435" w:type="dxa"/>
            <w:vAlign w:val="center"/>
          </w:tcPr>
          <w:p>
            <w:pPr>
              <w:spacing w:beforeLines="0" w:line="400" w:lineRule="exact"/>
              <w:rPr>
                <w:rFonts w:hint="eastAsia" w:ascii="宋体" w:hAnsi="宋体" w:cs="宋体"/>
                <w:highlight w:val="none"/>
              </w:rPr>
            </w:pPr>
            <w:r>
              <w:rPr>
                <w:rFonts w:hint="eastAsia" w:ascii="宋体" w:hAnsi="宋体" w:cs="宋体"/>
                <w:highlight w:val="none"/>
              </w:rPr>
              <w:t>除投标人须知前附表规定允许外，投标人不得递交备选投标方案，否则其投标将被否决。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85" w:type="dxa"/>
            <w:vAlign w:val="center"/>
          </w:tcPr>
          <w:p>
            <w:pPr>
              <w:adjustRightInd w:val="0"/>
              <w:snapToGrid w:val="0"/>
              <w:spacing w:line="360" w:lineRule="auto"/>
              <w:jc w:val="center"/>
              <w:rPr>
                <w:rFonts w:hint="eastAsia" w:ascii="宋体" w:hAnsi="宋体" w:cs="宋体"/>
                <w:highlight w:val="none"/>
              </w:rPr>
            </w:pPr>
            <w:r>
              <w:rPr>
                <w:rFonts w:hint="eastAsia" w:ascii="宋体" w:hAnsi="宋体" w:cs="宋体"/>
                <w:highlight w:val="none"/>
              </w:rPr>
              <w:t>第二章10.6</w:t>
            </w:r>
          </w:p>
        </w:tc>
        <w:tc>
          <w:tcPr>
            <w:tcW w:w="1665" w:type="dxa"/>
            <w:vAlign w:val="center"/>
          </w:tcPr>
          <w:p>
            <w:pPr>
              <w:adjustRightInd w:val="0"/>
              <w:snapToGrid w:val="0"/>
              <w:spacing w:beforeLines="0" w:line="400" w:lineRule="exact"/>
              <w:jc w:val="center"/>
              <w:rPr>
                <w:rFonts w:hint="eastAsia" w:ascii="宋体" w:hAnsi="宋体" w:cs="宋体"/>
                <w:highlight w:val="none"/>
              </w:rPr>
            </w:pPr>
            <w:r>
              <w:rPr>
                <w:rFonts w:hint="eastAsia" w:ascii="宋体" w:hAnsi="宋体" w:cs="宋体"/>
                <w:highlight w:val="none"/>
              </w:rPr>
              <w:t>其他2</w:t>
            </w:r>
          </w:p>
        </w:tc>
        <w:tc>
          <w:tcPr>
            <w:tcW w:w="6435" w:type="dxa"/>
            <w:vAlign w:val="center"/>
          </w:tcPr>
          <w:p>
            <w:pPr>
              <w:spacing w:beforeLines="0" w:line="400" w:lineRule="exact"/>
              <w:rPr>
                <w:rFonts w:hint="eastAsia" w:ascii="宋体" w:hAnsi="宋体" w:cs="宋体"/>
                <w:highlight w:val="none"/>
              </w:rPr>
            </w:pPr>
            <w:r>
              <w:rPr>
                <w:rFonts w:hint="eastAsia" w:ascii="宋体" w:hAnsi="宋体" w:cs="宋体"/>
                <w:highlight w:val="none"/>
              </w:rPr>
              <w:t>招标人将进一步核查投标人在投标文件中提供的材料，若在评标期间发现投标人提供了虚假资料，其投标将被否决。</w:t>
            </w:r>
          </w:p>
          <w:p>
            <w:pPr>
              <w:spacing w:beforeLines="0" w:line="400" w:lineRule="exact"/>
              <w:rPr>
                <w:rFonts w:hint="eastAsia" w:ascii="宋体" w:hAnsi="宋体" w:cs="宋体"/>
                <w:highlight w:val="none"/>
              </w:rPr>
            </w:pPr>
            <w:r>
              <w:rPr>
                <w:rFonts w:hint="eastAsia" w:ascii="宋体" w:hAnsi="宋体" w:cs="宋体"/>
                <w:highlight w:val="none"/>
              </w:rPr>
              <w:t>评标期间若发现投标人有围标、串标或以他人名义参加投标的，其投标将被否决。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485" w:type="dxa"/>
            <w:vMerge w:val="restart"/>
            <w:vAlign w:val="center"/>
          </w:tcPr>
          <w:p>
            <w:pPr>
              <w:adjustRightInd w:val="0"/>
              <w:snapToGrid w:val="0"/>
              <w:spacing w:line="360" w:lineRule="auto"/>
              <w:jc w:val="center"/>
              <w:rPr>
                <w:rFonts w:hint="eastAsia" w:ascii="宋体" w:hAnsi="宋体" w:cs="宋体"/>
                <w:highlight w:val="none"/>
              </w:rPr>
            </w:pPr>
            <w:r>
              <w:rPr>
                <w:rFonts w:hint="eastAsia" w:ascii="宋体" w:hAnsi="宋体" w:cs="宋体"/>
                <w:highlight w:val="none"/>
              </w:rPr>
              <w:t>第三章3.1</w:t>
            </w:r>
          </w:p>
        </w:tc>
        <w:tc>
          <w:tcPr>
            <w:tcW w:w="1665" w:type="dxa"/>
            <w:vMerge w:val="restart"/>
            <w:vAlign w:val="center"/>
          </w:tcPr>
          <w:p>
            <w:pPr>
              <w:adjustRightInd w:val="0"/>
              <w:snapToGrid w:val="0"/>
              <w:spacing w:beforeLines="0" w:line="400" w:lineRule="exact"/>
              <w:jc w:val="center"/>
              <w:rPr>
                <w:rFonts w:hint="eastAsia" w:ascii="宋体" w:hAnsi="宋体" w:cs="宋体"/>
                <w:highlight w:val="none"/>
              </w:rPr>
            </w:pPr>
            <w:r>
              <w:rPr>
                <w:rFonts w:hint="eastAsia" w:ascii="宋体" w:hAnsi="宋体" w:cs="宋体"/>
                <w:highlight w:val="none"/>
              </w:rPr>
              <w:t>初步评审</w:t>
            </w:r>
          </w:p>
        </w:tc>
        <w:tc>
          <w:tcPr>
            <w:tcW w:w="6435" w:type="dxa"/>
            <w:vAlign w:val="center"/>
          </w:tcPr>
          <w:p>
            <w:pPr>
              <w:adjustRightInd w:val="0"/>
              <w:snapToGrid w:val="0"/>
              <w:spacing w:beforeLines="0" w:line="400" w:lineRule="exact"/>
              <w:ind w:firstLine="420" w:firstLineChars="200"/>
              <w:rPr>
                <w:rFonts w:hint="eastAsia" w:ascii="宋体" w:hAnsi="宋体" w:cs="宋体"/>
                <w:highlight w:val="none"/>
              </w:rPr>
            </w:pPr>
            <w:r>
              <w:rPr>
                <w:rFonts w:hint="eastAsia" w:ascii="宋体" w:hAnsi="宋体" w:cs="宋体"/>
                <w:kern w:val="0"/>
                <w:szCs w:val="21"/>
                <w:highlight w:val="none"/>
              </w:rPr>
              <w:t>评标委员会依据本章第 2.1 款规定的标准对投标文件进行初步评审。有一项不符合评审标准的，评标委员会应当否决其投标。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85" w:type="dxa"/>
            <w:vMerge w:val="continue"/>
            <w:vAlign w:val="center"/>
          </w:tcPr>
          <w:p>
            <w:pPr>
              <w:adjustRightInd w:val="0"/>
              <w:snapToGrid w:val="0"/>
              <w:spacing w:line="360" w:lineRule="auto"/>
              <w:jc w:val="center"/>
              <w:rPr>
                <w:rFonts w:hint="eastAsia" w:ascii="宋体" w:hAnsi="宋体" w:cs="宋体"/>
                <w:highlight w:val="none"/>
              </w:rPr>
            </w:pPr>
          </w:p>
        </w:tc>
        <w:tc>
          <w:tcPr>
            <w:tcW w:w="1665" w:type="dxa"/>
            <w:vMerge w:val="continue"/>
            <w:vAlign w:val="center"/>
          </w:tcPr>
          <w:p>
            <w:pPr>
              <w:adjustRightInd w:val="0"/>
              <w:snapToGrid w:val="0"/>
              <w:spacing w:beforeLines="0" w:line="400" w:lineRule="exact"/>
              <w:rPr>
                <w:rFonts w:hint="eastAsia" w:ascii="宋体" w:hAnsi="宋体" w:cs="宋体"/>
                <w:highlight w:val="none"/>
              </w:rPr>
            </w:pPr>
          </w:p>
        </w:tc>
        <w:tc>
          <w:tcPr>
            <w:tcW w:w="6435" w:type="dxa"/>
            <w:vAlign w:val="center"/>
          </w:tcPr>
          <w:p>
            <w:pPr>
              <w:spacing w:beforeLines="0"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投标人有以下情形之一的，评标委员会应当否决其投标：</w:t>
            </w:r>
          </w:p>
          <w:p>
            <w:pPr>
              <w:spacing w:beforeLines="0"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（1）投标文件没有对招标文件的实质性要求和条件作出响应，或者对招标文件的偏差超出招标文件规定的偏差范围或最高项数；</w:t>
            </w:r>
          </w:p>
          <w:p>
            <w:pPr>
              <w:spacing w:beforeLines="0" w:line="400" w:lineRule="exact"/>
              <w:ind w:firstLine="420" w:firstLineChars="200"/>
              <w:rPr>
                <w:rFonts w:hint="eastAsia" w:ascii="宋体" w:hAnsi="宋体" w:cs="宋体"/>
                <w:highlight w:val="none"/>
              </w:rPr>
            </w:pPr>
            <w:r>
              <w:rPr>
                <w:rFonts w:hint="eastAsia" w:ascii="宋体" w:hAnsi="宋体" w:cs="宋体"/>
                <w:kern w:val="0"/>
                <w:szCs w:val="21"/>
                <w:highlight w:val="none"/>
              </w:rPr>
              <w:t>（2）有串通投标、弄虚作假、行贿等违法行为。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1485" w:type="dxa"/>
            <w:vMerge w:val="continue"/>
            <w:vAlign w:val="center"/>
          </w:tcPr>
          <w:p>
            <w:pPr>
              <w:adjustRightInd w:val="0"/>
              <w:snapToGrid w:val="0"/>
              <w:spacing w:line="360" w:lineRule="auto"/>
              <w:jc w:val="center"/>
              <w:rPr>
                <w:rFonts w:hint="eastAsia" w:ascii="宋体" w:hAnsi="宋体" w:cs="宋体"/>
                <w:highlight w:val="none"/>
              </w:rPr>
            </w:pPr>
          </w:p>
        </w:tc>
        <w:tc>
          <w:tcPr>
            <w:tcW w:w="1665" w:type="dxa"/>
            <w:vMerge w:val="continue"/>
            <w:vAlign w:val="center"/>
          </w:tcPr>
          <w:p>
            <w:pPr>
              <w:adjustRightInd w:val="0"/>
              <w:snapToGrid w:val="0"/>
              <w:spacing w:beforeLines="0" w:line="400" w:lineRule="exact"/>
              <w:rPr>
                <w:rFonts w:hint="eastAsia" w:ascii="宋体" w:hAnsi="宋体" w:cs="宋体"/>
                <w:highlight w:val="none"/>
              </w:rPr>
            </w:pPr>
          </w:p>
        </w:tc>
        <w:tc>
          <w:tcPr>
            <w:tcW w:w="6435" w:type="dxa"/>
            <w:vAlign w:val="center"/>
          </w:tcPr>
          <w:p>
            <w:pPr>
              <w:adjustRightInd w:val="0"/>
              <w:snapToGrid w:val="0"/>
              <w:spacing w:beforeLines="0" w:line="400" w:lineRule="exact"/>
              <w:ind w:firstLine="420" w:firstLineChars="200"/>
              <w:rPr>
                <w:rFonts w:hint="eastAsia" w:ascii="宋体" w:hAnsi="宋体" w:cs="宋体"/>
                <w:highlight w:val="none"/>
              </w:rPr>
            </w:pPr>
            <w:r>
              <w:rPr>
                <w:rFonts w:hint="eastAsia" w:ascii="宋体" w:hAnsi="宋体" w:cs="宋体"/>
                <w:kern w:val="0"/>
                <w:szCs w:val="21"/>
                <w:highlight w:val="none"/>
              </w:rPr>
              <w:t>投标报价有算术错误及其他错误的，评标委员会按以下原则要求投标人对投标报价进行修正，并要求投标人书面澄清确认。投标人拒不澄清确认的，评标委员会应当否决其投标</w:t>
            </w:r>
            <w:r>
              <w:rPr>
                <w:rFonts w:hint="eastAsia" w:ascii="宋体" w:hAnsi="宋体" w:cs="宋体"/>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85" w:type="dxa"/>
            <w:vAlign w:val="center"/>
          </w:tcPr>
          <w:p>
            <w:pPr>
              <w:adjustRightInd w:val="0"/>
              <w:snapToGrid w:val="0"/>
              <w:spacing w:line="360" w:lineRule="auto"/>
              <w:jc w:val="center"/>
              <w:rPr>
                <w:rFonts w:hint="eastAsia" w:ascii="宋体" w:hAnsi="宋体" w:cs="宋体"/>
                <w:highlight w:val="none"/>
              </w:rPr>
            </w:pPr>
            <w:r>
              <w:rPr>
                <w:rFonts w:hint="eastAsia" w:ascii="宋体" w:hAnsi="宋体" w:cs="宋体"/>
                <w:highlight w:val="none"/>
              </w:rPr>
              <w:t>第三章3.2</w:t>
            </w:r>
          </w:p>
        </w:tc>
        <w:tc>
          <w:tcPr>
            <w:tcW w:w="8100" w:type="dxa"/>
            <w:gridSpan w:val="2"/>
            <w:vAlign w:val="center"/>
          </w:tcPr>
          <w:p>
            <w:pPr>
              <w:adjustRightInd w:val="0"/>
              <w:snapToGrid w:val="0"/>
              <w:spacing w:beforeLines="0" w:line="400" w:lineRule="exact"/>
              <w:ind w:firstLine="420" w:firstLineChars="200"/>
              <w:rPr>
                <w:rFonts w:hint="eastAsia" w:ascii="宋体" w:hAnsi="宋体" w:cs="宋体"/>
                <w:highlight w:val="none"/>
              </w:rPr>
            </w:pPr>
            <w:r>
              <w:rPr>
                <w:rFonts w:hint="eastAsia" w:ascii="宋体" w:hAnsi="宋体" w:cs="宋体"/>
                <w:kern w:val="0"/>
                <w:szCs w:val="21"/>
                <w:highlight w:val="none"/>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tc>
      </w:tr>
    </w:tbl>
    <w:p>
      <w:pPr>
        <w:pStyle w:val="17"/>
        <w:rPr>
          <w:color w:val="auto"/>
          <w:highlight w:val="none"/>
        </w:rPr>
      </w:pPr>
    </w:p>
    <w:p>
      <w:pPr>
        <w:pStyle w:val="17"/>
        <w:rPr>
          <w:color w:val="auto"/>
          <w:highlight w:val="none"/>
        </w:rPr>
      </w:pPr>
    </w:p>
    <w:p>
      <w:pPr>
        <w:autoSpaceDE w:val="0"/>
        <w:autoSpaceDN w:val="0"/>
        <w:adjustRightInd w:val="0"/>
        <w:spacing w:before="156" w:beforeLines="50" w:after="156" w:afterLines="50" w:line="360" w:lineRule="auto"/>
        <w:ind w:left="105" w:leftChars="50" w:right="105" w:rightChars="50"/>
        <w:jc w:val="center"/>
        <w:rPr>
          <w:rFonts w:hint="eastAsia" w:ascii="宋体" w:hAnsi="宋体" w:cs="宋体"/>
          <w:kern w:val="0"/>
          <w:szCs w:val="21"/>
          <w:highlight w:val="none"/>
        </w:rPr>
      </w:pPr>
    </w:p>
    <w:p>
      <w:pPr>
        <w:pStyle w:val="23"/>
        <w:rPr>
          <w:rStyle w:val="24"/>
          <w:rFonts w:hint="eastAsia"/>
          <w:b/>
          <w:highlight w:val="none"/>
        </w:rPr>
      </w:pPr>
      <w:r>
        <w:rPr>
          <w:rFonts w:hint="eastAsia" w:ascii="宋体" w:hAnsi="宋体" w:cs="宋体"/>
          <w:spacing w:val="2"/>
          <w:position w:val="-5"/>
          <w:sz w:val="44"/>
          <w:szCs w:val="44"/>
          <w:highlight w:val="none"/>
        </w:rPr>
        <w:br w:type="page"/>
      </w:r>
      <w:bookmarkStart w:id="143" w:name="_Toc18460"/>
      <w:bookmarkStart w:id="144" w:name="_Toc5443"/>
      <w:bookmarkStart w:id="145" w:name="_Toc10449"/>
      <w:r>
        <w:rPr>
          <w:rFonts w:hint="eastAsia"/>
          <w:highlight w:val="none"/>
        </w:rPr>
        <w:t>第四章  合同条款及格式</w:t>
      </w:r>
    </w:p>
    <w:bookmarkEnd w:id="143"/>
    <w:bookmarkEnd w:id="144"/>
    <w:bookmarkEnd w:id="145"/>
    <w:p>
      <w:pPr>
        <w:autoSpaceDE w:val="0"/>
        <w:autoSpaceDN w:val="0"/>
        <w:adjustRightInd w:val="0"/>
        <w:spacing w:before="156" w:beforeLines="50" w:after="156" w:afterLines="50" w:line="360" w:lineRule="auto"/>
        <w:ind w:left="105" w:leftChars="50" w:right="105" w:rightChars="50"/>
        <w:jc w:val="left"/>
        <w:rPr>
          <w:rFonts w:hint="eastAsia" w:ascii="宋体" w:hAnsi="宋体" w:cs="宋体"/>
          <w:kern w:val="0"/>
          <w:sz w:val="20"/>
          <w:szCs w:val="20"/>
          <w:highlight w:val="none"/>
        </w:rPr>
      </w:pPr>
    </w:p>
    <w:p>
      <w:pPr>
        <w:spacing w:after="156" w:afterLines="50"/>
        <w:ind w:right="964" w:firstLine="878" w:firstLineChars="200"/>
        <w:jc w:val="right"/>
        <w:rPr>
          <w:rFonts w:ascii="黑体" w:hAnsi="黑体" w:eastAsia="黑体"/>
          <w:color w:val="000000"/>
          <w:highlight w:val="none"/>
        </w:rPr>
      </w:pPr>
      <w:r>
        <w:rPr>
          <w:rFonts w:ascii="宋体" w:hAnsi="宋体" w:cs="宋体"/>
          <w:spacing w:val="2"/>
          <w:w w:val="99"/>
          <w:kern w:val="0"/>
          <w:sz w:val="44"/>
          <w:szCs w:val="44"/>
          <w:highlight w:val="none"/>
        </w:rPr>
        <w:br w:type="page"/>
      </w:r>
      <w:r>
        <w:rPr>
          <w:rFonts w:hint="eastAsia" w:ascii="黑体" w:hAnsi="黑体" w:eastAsia="黑体"/>
          <w:color w:val="000000"/>
          <w:highlight w:val="none"/>
        </w:rPr>
        <w:t>合同编号：CQA</w:t>
      </w:r>
    </w:p>
    <w:p>
      <w:pPr>
        <w:spacing w:after="156" w:afterLines="50"/>
        <w:ind w:firstLine="422" w:firstLineChars="200"/>
        <w:jc w:val="center"/>
        <w:rPr>
          <w:rFonts w:hint="eastAsia" w:ascii="仿宋" w:hAnsi="仿宋" w:eastAsia="仿宋"/>
          <w:b/>
          <w:color w:val="000000"/>
          <w:highlight w:val="none"/>
        </w:rPr>
      </w:pPr>
    </w:p>
    <w:p>
      <w:pPr>
        <w:snapToGrid w:val="0"/>
        <w:spacing w:line="360" w:lineRule="auto"/>
        <w:jc w:val="center"/>
        <w:rPr>
          <w:rFonts w:hint="eastAsia" w:cs="Calibri"/>
          <w:b/>
          <w:sz w:val="32"/>
          <w:szCs w:val="32"/>
          <w:highlight w:val="none"/>
        </w:rPr>
      </w:pPr>
    </w:p>
    <w:p>
      <w:pPr>
        <w:snapToGrid w:val="0"/>
        <w:spacing w:line="360" w:lineRule="auto"/>
        <w:jc w:val="center"/>
        <w:rPr>
          <w:rFonts w:hint="eastAsia" w:cs="Calibri"/>
          <w:b/>
          <w:sz w:val="32"/>
          <w:szCs w:val="32"/>
          <w:highlight w:val="none"/>
        </w:rPr>
      </w:pPr>
    </w:p>
    <w:p>
      <w:pPr>
        <w:snapToGrid w:val="0"/>
        <w:spacing w:line="360" w:lineRule="auto"/>
        <w:rPr>
          <w:rFonts w:hint="eastAsia"/>
          <w:b/>
          <w:sz w:val="32"/>
          <w:szCs w:val="32"/>
          <w:highlight w:val="none"/>
        </w:rPr>
      </w:pPr>
      <w:r>
        <w:rPr>
          <w:highlight w:val="none"/>
        </w:rPr>
        <mc:AlternateContent>
          <mc:Choice Requires="wpg">
            <w:drawing>
              <wp:anchor distT="0" distB="0" distL="114300" distR="114300" simplePos="0" relativeHeight="251660288" behindDoc="0" locked="0" layoutInCell="1" allowOverlap="1">
                <wp:simplePos x="0" y="0"/>
                <wp:positionH relativeFrom="column">
                  <wp:posOffset>1123315</wp:posOffset>
                </wp:positionH>
                <wp:positionV relativeFrom="paragraph">
                  <wp:posOffset>9525</wp:posOffset>
                </wp:positionV>
                <wp:extent cx="3685540" cy="1657350"/>
                <wp:effectExtent l="0" t="9525" r="10160" b="9525"/>
                <wp:wrapNone/>
                <wp:docPr id="3" name="组合 3"/>
                <wp:cNvGraphicFramePr/>
                <a:graphic xmlns:a="http://schemas.openxmlformats.org/drawingml/2006/main">
                  <a:graphicData uri="http://schemas.microsoft.com/office/word/2010/wordprocessingGroup">
                    <wpg:wgp>
                      <wpg:cNvGrpSpPr/>
                      <wpg:grpSpPr>
                        <a:xfrm>
                          <a:off x="0" y="0"/>
                          <a:ext cx="3685540" cy="1657350"/>
                          <a:chOff x="3488" y="537861"/>
                          <a:chExt cx="5804" cy="2610"/>
                        </a:xfrm>
                      </wpg:grpSpPr>
                      <wps:wsp>
                        <wps:cNvPr id="1" name="直接箭头连接符 1"/>
                        <wps:cNvCnPr/>
                        <wps:spPr>
                          <a:xfrm>
                            <a:off x="3491" y="537861"/>
                            <a:ext cx="5801" cy="0"/>
                          </a:xfrm>
                          <a:prstGeom prst="straightConnector1">
                            <a:avLst/>
                          </a:prstGeom>
                          <a:ln w="19050" cap="flat" cmpd="sng">
                            <a:solidFill>
                              <a:srgbClr val="000000"/>
                            </a:solidFill>
                            <a:prstDash val="solid"/>
                            <a:headEnd type="none" w="med" len="med"/>
                            <a:tailEnd type="none" w="med" len="med"/>
                          </a:ln>
                        </wps:spPr>
                        <wps:bodyPr/>
                      </wps:wsp>
                      <wps:wsp>
                        <wps:cNvPr id="2" name="直接箭头连接符 2"/>
                        <wps:cNvCnPr/>
                        <wps:spPr>
                          <a:xfrm>
                            <a:off x="3488" y="540471"/>
                            <a:ext cx="5801" cy="0"/>
                          </a:xfrm>
                          <a:prstGeom prst="straightConnector1">
                            <a:avLst/>
                          </a:prstGeom>
                          <a:ln w="19050" cap="flat" cmpd="sng">
                            <a:solidFill>
                              <a:srgbClr val="00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88.45pt;margin-top:0.75pt;height:130.5pt;width:290.2pt;z-index:251660288;mso-width-relative:page;mso-height-relative:page;" coordorigin="3488,537861" coordsize="5804,2610" o:gfxdata="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PTrwrbZAAAACQEAAA8AAAAA&#10;AAAAAQAgAAAAIgAAAGRycy9kb3ducmV2LnhtbFBLAQIUABQAAAAIAIdO4kDefgoRhQIAAOsGAAAO&#10;AAAAAAAAAAEAIAAAACgBAABkcnMvZTJvRG9jLnhtbFBLBQYAAAAABgAGAFkBAAAfBgAAAAA=&#10;">
                <o:lock v:ext="edit" aspectratio="f"/>
                <v:shape id="_x0000_s1026" o:spid="_x0000_s1026" o:spt="32" type="#_x0000_t32" style="position:absolute;left:3491;top:537861;height:0;width:5801;" filled="f" stroked="t" coordsize="21600,21600" o:gfxdata="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8OO7ltwAAANoAAAAP&#10;AAAAAAAAAAEAIAAAACIAAABkcnMvZG93bnJldi54bWxQSwECFAAUAAAACACHTuJAMy8FnjsAAAA5&#10;AAAAEAAAAAAAAAABACAAAAAGAQAAZHJzL3NoYXBleG1sLnhtbFBLBQYAAAAABgAGAFsBAACwAwAA&#10;AAA=&#10;">
                  <v:fill on="f" focussize="0,0"/>
                  <v:stroke weight="1.5pt" color="#000000" joinstyle="round"/>
                  <v:imagedata o:title=""/>
                  <o:lock v:ext="edit" aspectratio="f"/>
                </v:shape>
                <v:shape id="_x0000_s1026" o:spid="_x0000_s1026" o:spt="32" type="#_x0000_t32" style="position:absolute;left:3488;top:540471;height:0;width:5801;" filled="f" stroked="t" coordsize="21600,21600" o:gfxdata="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6nCSugAAANoA&#10;AAAPAAAAAAAAAAEAIAAAACIAAABkcnMvZG93bnJldi54bWxQSwECFAAUAAAACACHTuJAMy8FnjsA&#10;AAA5AAAAEAAAAAAAAAABACAAAAAJAQAAZHJzL3NoYXBleG1sLnhtbFBLBQYAAAAABgAGAFsBAACz&#10;AwAAAAA=&#10;">
                  <v:fill on="f" focussize="0,0"/>
                  <v:stroke weight="1.5pt" color="#000000" joinstyle="round"/>
                  <v:imagedata o:title=""/>
                  <o:lock v:ext="edit" aspectratio="f"/>
                </v:shape>
              </v:group>
            </w:pict>
          </mc:Fallback>
        </mc:AlternateContent>
      </w:r>
      <w:r>
        <w:rPr>
          <w:rFonts w:hint="eastAsia"/>
          <w:b/>
          <w:sz w:val="32"/>
          <w:szCs w:val="32"/>
          <w:highlight w:val="none"/>
        </w:rPr>
        <w:t xml:space="preserve">                  </w:t>
      </w:r>
    </w:p>
    <w:p>
      <w:pPr>
        <w:snapToGrid w:val="0"/>
        <w:spacing w:line="360" w:lineRule="auto"/>
        <w:jc w:val="center"/>
        <w:rPr>
          <w:rFonts w:hint="eastAsia" w:ascii="黑体" w:hAnsi="黑体" w:eastAsia="黑体"/>
          <w:sz w:val="48"/>
          <w:szCs w:val="48"/>
          <w:highlight w:val="none"/>
        </w:rPr>
      </w:pPr>
      <w:r>
        <w:rPr>
          <w:rFonts w:hint="eastAsia" w:ascii="黑体" w:hAnsi="黑体" w:eastAsia="黑体"/>
          <w:sz w:val="48"/>
          <w:szCs w:val="48"/>
          <w:highlight w:val="none"/>
        </w:rPr>
        <w:t>重庆新机场</w:t>
      </w:r>
      <w:r>
        <w:rPr>
          <w:rFonts w:hint="eastAsia" w:ascii="黑体" w:hAnsi="黑体" w:eastAsia="黑体"/>
          <w:sz w:val="48"/>
          <w:szCs w:val="48"/>
          <w:highlight w:val="none"/>
          <w:lang w:eastAsia="zh-CN"/>
        </w:rPr>
        <w:t>防洪专项研究</w:t>
      </w:r>
    </w:p>
    <w:p>
      <w:pPr>
        <w:snapToGrid w:val="0"/>
        <w:spacing w:line="360" w:lineRule="auto"/>
        <w:jc w:val="center"/>
        <w:rPr>
          <w:rFonts w:hint="eastAsia" w:ascii="黑体" w:hAnsi="黑体" w:eastAsia="黑体"/>
          <w:sz w:val="48"/>
          <w:szCs w:val="48"/>
          <w:highlight w:val="none"/>
        </w:rPr>
      </w:pPr>
      <w:r>
        <w:rPr>
          <w:rFonts w:hint="eastAsia" w:ascii="黑体" w:hAnsi="黑体" w:eastAsia="黑体"/>
          <w:sz w:val="48"/>
          <w:szCs w:val="48"/>
          <w:highlight w:val="none"/>
        </w:rPr>
        <w:t>咨询服务合同</w:t>
      </w:r>
    </w:p>
    <w:p>
      <w:pPr>
        <w:snapToGrid w:val="0"/>
        <w:spacing w:line="360" w:lineRule="auto"/>
        <w:rPr>
          <w:rFonts w:hint="eastAsia"/>
          <w:b/>
          <w:sz w:val="32"/>
          <w:szCs w:val="32"/>
          <w:highlight w:val="none"/>
        </w:rPr>
      </w:pPr>
      <w:r>
        <w:rPr>
          <w:rFonts w:hint="eastAsia"/>
          <w:b/>
          <w:sz w:val="32"/>
          <w:szCs w:val="32"/>
          <w:highlight w:val="none"/>
        </w:rPr>
        <w:t xml:space="preserve"> </w:t>
      </w:r>
    </w:p>
    <w:p>
      <w:pPr>
        <w:snapToGrid w:val="0"/>
        <w:spacing w:line="360" w:lineRule="auto"/>
        <w:rPr>
          <w:rFonts w:hint="eastAsia"/>
          <w:b/>
          <w:sz w:val="32"/>
          <w:szCs w:val="32"/>
          <w:highlight w:val="none"/>
        </w:rPr>
      </w:pPr>
    </w:p>
    <w:p>
      <w:pPr>
        <w:snapToGrid w:val="0"/>
        <w:spacing w:line="360" w:lineRule="auto"/>
        <w:jc w:val="center"/>
        <w:rPr>
          <w:rFonts w:hint="eastAsia"/>
          <w:b/>
          <w:sz w:val="32"/>
          <w:szCs w:val="32"/>
          <w:highlight w:val="none"/>
        </w:rPr>
      </w:pPr>
    </w:p>
    <w:p>
      <w:pPr>
        <w:spacing w:before="156"/>
        <w:ind w:firstLine="2400" w:firstLineChars="800"/>
        <w:rPr>
          <w:rFonts w:eastAsia="黑体"/>
          <w:sz w:val="30"/>
          <w:szCs w:val="30"/>
          <w:highlight w:val="none"/>
        </w:rPr>
      </w:pPr>
      <w:r>
        <w:rPr>
          <w:rFonts w:hint="eastAsia" w:eastAsia="黑体"/>
          <w:sz w:val="30"/>
          <w:szCs w:val="30"/>
          <w:highlight w:val="none"/>
        </w:rPr>
        <w:t>甲方：重庆机场集团有限公司</w:t>
      </w:r>
    </w:p>
    <w:p>
      <w:pPr>
        <w:spacing w:before="156"/>
        <w:ind w:left="1838" w:leftChars="875" w:firstLine="600"/>
        <w:rPr>
          <w:rFonts w:eastAsia="黑体"/>
          <w:sz w:val="30"/>
          <w:szCs w:val="30"/>
          <w:highlight w:val="none"/>
        </w:rPr>
      </w:pPr>
      <w:r>
        <w:rPr>
          <w:rFonts w:hint="eastAsia" w:eastAsia="黑体"/>
          <w:sz w:val="30"/>
          <w:szCs w:val="30"/>
          <w:highlight w:val="none"/>
        </w:rPr>
        <w:t>乙方：</w:t>
      </w:r>
      <w:r>
        <w:rPr>
          <w:rFonts w:eastAsia="黑体"/>
          <w:bCs/>
          <w:sz w:val="30"/>
          <w:szCs w:val="30"/>
          <w:highlight w:val="none"/>
          <w:u w:val="single"/>
        </w:rPr>
        <w:t xml:space="preserve">                 </w:t>
      </w:r>
      <w:r>
        <w:rPr>
          <w:rFonts w:eastAsia="黑体"/>
          <w:b/>
          <w:bCs/>
          <w:sz w:val="30"/>
          <w:szCs w:val="30"/>
          <w:highlight w:val="none"/>
          <w:u w:val="single"/>
        </w:rPr>
        <w:t xml:space="preserve">   </w:t>
      </w:r>
    </w:p>
    <w:p>
      <w:pPr>
        <w:tabs>
          <w:tab w:val="left" w:pos="7096"/>
        </w:tabs>
        <w:snapToGrid w:val="0"/>
        <w:spacing w:line="360" w:lineRule="auto"/>
        <w:rPr>
          <w:rFonts w:hint="eastAsia"/>
          <w:b/>
          <w:sz w:val="32"/>
          <w:szCs w:val="32"/>
          <w:highlight w:val="none"/>
        </w:rPr>
      </w:pPr>
    </w:p>
    <w:p>
      <w:pPr>
        <w:spacing w:line="520" w:lineRule="exact"/>
        <w:jc w:val="center"/>
        <w:rPr>
          <w:rFonts w:hint="eastAsia" w:ascii="黑体" w:hAnsi="黑体" w:eastAsia="黑体"/>
          <w:b/>
          <w:bCs/>
          <w:color w:val="000000"/>
          <w:sz w:val="32"/>
          <w:szCs w:val="32"/>
          <w:highlight w:val="none"/>
        </w:rPr>
      </w:pPr>
    </w:p>
    <w:p>
      <w:pPr>
        <w:spacing w:line="520" w:lineRule="exact"/>
        <w:ind w:firstLine="435"/>
        <w:rPr>
          <w:rFonts w:ascii="仿宋" w:hAnsi="仿宋" w:eastAsia="仿宋" w:cs="仿宋"/>
          <w:sz w:val="28"/>
          <w:szCs w:val="28"/>
          <w:highlight w:val="none"/>
        </w:rPr>
      </w:pPr>
      <w:r>
        <w:rPr>
          <w:rFonts w:ascii="仿宋" w:hAnsi="仿宋" w:eastAsia="仿宋" w:cs="仿宋"/>
          <w:sz w:val="28"/>
          <w:szCs w:val="28"/>
          <w:highlight w:val="none"/>
        </w:rPr>
        <w:br w:type="page"/>
      </w:r>
    </w:p>
    <w:p>
      <w:pPr>
        <w:widowControl/>
        <w:adjustRightInd w:val="0"/>
        <w:snapToGrid w:val="0"/>
        <w:spacing w:before="156" w:line="360" w:lineRule="auto"/>
        <w:jc w:val="left"/>
        <w:rPr>
          <w:rFonts w:hint="eastAsia" w:ascii="宋体" w:hAnsi="宋体" w:cs="宋体"/>
          <w:bCs/>
          <w:sz w:val="24"/>
          <w:szCs w:val="24"/>
          <w:highlight w:val="none"/>
        </w:rPr>
      </w:pPr>
      <w:r>
        <w:rPr>
          <w:rFonts w:hint="eastAsia" w:ascii="宋体" w:hAnsi="宋体" w:cs="宋体"/>
          <w:bCs/>
          <w:sz w:val="24"/>
          <w:szCs w:val="24"/>
          <w:highlight w:val="none"/>
        </w:rPr>
        <w:t xml:space="preserve">    甲方（委托方）：重庆机场集团有限公司</w:t>
      </w:r>
    </w:p>
    <w:p>
      <w:pPr>
        <w:pStyle w:val="4"/>
        <w:adjustRightInd w:val="0"/>
        <w:snapToGrid w:val="0"/>
        <w:spacing w:before="156"/>
        <w:ind w:firstLine="480"/>
        <w:rPr>
          <w:rFonts w:hint="eastAsia" w:ascii="宋体" w:hAnsi="宋体" w:eastAsia="宋体"/>
          <w:bCs/>
          <w:color w:val="auto"/>
          <w:sz w:val="24"/>
          <w:szCs w:val="24"/>
          <w:highlight w:val="none"/>
          <w:lang w:eastAsia="zh-CN"/>
        </w:rPr>
      </w:pPr>
      <w:r>
        <w:rPr>
          <w:rFonts w:hint="eastAsia" w:ascii="宋体" w:hAnsi="宋体" w:eastAsia="宋体"/>
          <w:bCs/>
          <w:color w:val="auto"/>
          <w:sz w:val="24"/>
          <w:szCs w:val="24"/>
          <w:highlight w:val="none"/>
          <w:lang w:eastAsia="zh-CN"/>
        </w:rPr>
        <w:t>统一社会信用代码：</w:t>
      </w:r>
    </w:p>
    <w:p>
      <w:pPr>
        <w:pStyle w:val="4"/>
        <w:adjustRightInd w:val="0"/>
        <w:snapToGrid w:val="0"/>
        <w:spacing w:before="156"/>
        <w:ind w:firstLine="480"/>
        <w:rPr>
          <w:rFonts w:hint="eastAsia" w:ascii="宋体" w:hAnsi="宋体" w:eastAsia="宋体"/>
          <w:bCs/>
          <w:color w:val="auto"/>
          <w:sz w:val="24"/>
          <w:szCs w:val="24"/>
          <w:highlight w:val="none"/>
          <w:lang w:eastAsia="zh-CN"/>
        </w:rPr>
      </w:pPr>
      <w:r>
        <w:rPr>
          <w:rFonts w:hint="eastAsia" w:ascii="宋体" w:hAnsi="宋体" w:eastAsia="宋体"/>
          <w:bCs/>
          <w:color w:val="auto"/>
          <w:sz w:val="24"/>
          <w:szCs w:val="24"/>
          <w:highlight w:val="none"/>
          <w:lang w:eastAsia="zh-CN"/>
        </w:rPr>
        <w:t>通讯地址：</w:t>
      </w:r>
    </w:p>
    <w:p>
      <w:pPr>
        <w:pStyle w:val="4"/>
        <w:adjustRightInd w:val="0"/>
        <w:snapToGrid w:val="0"/>
        <w:spacing w:before="156"/>
        <w:ind w:firstLine="480"/>
        <w:rPr>
          <w:rFonts w:hint="eastAsia" w:ascii="宋体" w:hAnsi="宋体" w:eastAsia="宋体"/>
          <w:bCs/>
          <w:color w:val="auto"/>
          <w:sz w:val="24"/>
          <w:szCs w:val="24"/>
          <w:highlight w:val="none"/>
          <w:lang w:eastAsia="zh-CN"/>
        </w:rPr>
      </w:pPr>
      <w:r>
        <w:rPr>
          <w:rFonts w:hint="eastAsia" w:ascii="宋体" w:hAnsi="宋体" w:eastAsia="宋体"/>
          <w:bCs/>
          <w:color w:val="auto"/>
          <w:sz w:val="24"/>
          <w:szCs w:val="24"/>
          <w:highlight w:val="none"/>
          <w:lang w:eastAsia="zh-CN"/>
        </w:rPr>
        <w:t xml:space="preserve">法定代表人或委托代理人： </w:t>
      </w:r>
    </w:p>
    <w:p>
      <w:pPr>
        <w:pStyle w:val="4"/>
        <w:adjustRightInd w:val="0"/>
        <w:snapToGrid w:val="0"/>
        <w:spacing w:before="156"/>
        <w:ind w:firstLine="480"/>
        <w:rPr>
          <w:rFonts w:hint="eastAsia" w:ascii="宋体" w:hAnsi="宋体" w:eastAsia="宋体"/>
          <w:bCs/>
          <w:color w:val="auto"/>
          <w:sz w:val="24"/>
          <w:szCs w:val="24"/>
          <w:highlight w:val="none"/>
          <w:lang w:eastAsia="zh-CN"/>
        </w:rPr>
      </w:pPr>
      <w:r>
        <w:rPr>
          <w:rFonts w:hint="eastAsia" w:ascii="宋体" w:hAnsi="宋体" w:eastAsia="宋体"/>
          <w:bCs/>
          <w:color w:val="auto"/>
          <w:sz w:val="24"/>
          <w:szCs w:val="24"/>
          <w:highlight w:val="none"/>
          <w:lang w:eastAsia="zh-CN"/>
        </w:rPr>
        <w:t>联系电话：</w:t>
      </w:r>
    </w:p>
    <w:p>
      <w:pPr>
        <w:pStyle w:val="4"/>
        <w:adjustRightInd w:val="0"/>
        <w:snapToGrid w:val="0"/>
        <w:spacing w:before="156"/>
        <w:ind w:firstLine="480"/>
        <w:rPr>
          <w:rFonts w:hint="eastAsia" w:ascii="宋体" w:hAnsi="宋体" w:eastAsia="宋体"/>
          <w:bCs/>
          <w:color w:val="auto"/>
          <w:sz w:val="24"/>
          <w:szCs w:val="24"/>
          <w:highlight w:val="none"/>
          <w:lang w:eastAsia="zh-CN"/>
        </w:rPr>
      </w:pPr>
    </w:p>
    <w:p>
      <w:pPr>
        <w:pStyle w:val="4"/>
        <w:adjustRightInd w:val="0"/>
        <w:snapToGrid w:val="0"/>
        <w:spacing w:before="156"/>
        <w:ind w:firstLine="480"/>
        <w:rPr>
          <w:rFonts w:hint="eastAsia" w:ascii="宋体" w:hAnsi="宋体" w:eastAsia="宋体"/>
          <w:bCs/>
          <w:color w:val="auto"/>
          <w:sz w:val="24"/>
          <w:szCs w:val="24"/>
          <w:highlight w:val="none"/>
          <w:lang w:eastAsia="zh-CN"/>
        </w:rPr>
      </w:pPr>
      <w:r>
        <w:rPr>
          <w:rFonts w:hint="eastAsia" w:ascii="宋体" w:hAnsi="宋体" w:eastAsia="宋体"/>
          <w:bCs/>
          <w:color w:val="auto"/>
          <w:sz w:val="24"/>
          <w:szCs w:val="24"/>
          <w:highlight w:val="none"/>
          <w:lang w:eastAsia="zh-CN"/>
        </w:rPr>
        <w:t>乙方（受托方）：</w:t>
      </w:r>
    </w:p>
    <w:p>
      <w:pPr>
        <w:pStyle w:val="4"/>
        <w:adjustRightInd w:val="0"/>
        <w:snapToGrid w:val="0"/>
        <w:spacing w:before="156"/>
        <w:ind w:firstLine="480"/>
        <w:rPr>
          <w:rFonts w:hint="eastAsia" w:ascii="宋体" w:hAnsi="宋体" w:eastAsia="宋体"/>
          <w:bCs/>
          <w:color w:val="auto"/>
          <w:sz w:val="24"/>
          <w:szCs w:val="24"/>
          <w:highlight w:val="none"/>
          <w:lang w:eastAsia="zh-CN"/>
        </w:rPr>
      </w:pPr>
      <w:r>
        <w:rPr>
          <w:rFonts w:hint="eastAsia" w:ascii="宋体" w:hAnsi="宋体" w:eastAsia="宋体"/>
          <w:bCs/>
          <w:color w:val="auto"/>
          <w:sz w:val="24"/>
          <w:szCs w:val="24"/>
          <w:highlight w:val="none"/>
          <w:lang w:eastAsia="zh-CN"/>
        </w:rPr>
        <w:t>统一社会信用代码：</w:t>
      </w:r>
    </w:p>
    <w:p>
      <w:pPr>
        <w:pStyle w:val="4"/>
        <w:adjustRightInd w:val="0"/>
        <w:snapToGrid w:val="0"/>
        <w:spacing w:before="156"/>
        <w:ind w:firstLine="480"/>
        <w:rPr>
          <w:rFonts w:hint="eastAsia" w:ascii="宋体" w:hAnsi="宋体" w:eastAsia="宋体"/>
          <w:bCs/>
          <w:color w:val="auto"/>
          <w:sz w:val="24"/>
          <w:szCs w:val="24"/>
          <w:highlight w:val="none"/>
          <w:lang w:eastAsia="zh-CN"/>
        </w:rPr>
      </w:pPr>
      <w:r>
        <w:rPr>
          <w:rFonts w:hint="eastAsia" w:ascii="宋体" w:hAnsi="宋体" w:eastAsia="宋体"/>
          <w:bCs/>
          <w:color w:val="auto"/>
          <w:sz w:val="24"/>
          <w:szCs w:val="24"/>
          <w:highlight w:val="none"/>
          <w:lang w:eastAsia="zh-CN"/>
        </w:rPr>
        <w:t>通讯地址：</w:t>
      </w:r>
    </w:p>
    <w:p>
      <w:pPr>
        <w:pStyle w:val="4"/>
        <w:adjustRightInd w:val="0"/>
        <w:snapToGrid w:val="0"/>
        <w:spacing w:before="156"/>
        <w:ind w:firstLine="480"/>
        <w:rPr>
          <w:rFonts w:hint="eastAsia" w:ascii="宋体" w:hAnsi="宋体" w:eastAsia="宋体"/>
          <w:bCs/>
          <w:color w:val="auto"/>
          <w:sz w:val="24"/>
          <w:szCs w:val="24"/>
          <w:highlight w:val="none"/>
          <w:lang w:eastAsia="zh-CN"/>
        </w:rPr>
      </w:pPr>
      <w:r>
        <w:rPr>
          <w:rFonts w:hint="eastAsia" w:ascii="宋体" w:hAnsi="宋体" w:eastAsia="宋体"/>
          <w:bCs/>
          <w:color w:val="auto"/>
          <w:sz w:val="24"/>
          <w:szCs w:val="24"/>
          <w:highlight w:val="none"/>
          <w:lang w:eastAsia="zh-CN"/>
        </w:rPr>
        <w:t xml:space="preserve">法定代表人或委托代理人： </w:t>
      </w:r>
    </w:p>
    <w:p>
      <w:pPr>
        <w:pStyle w:val="4"/>
        <w:adjustRightInd w:val="0"/>
        <w:snapToGrid w:val="0"/>
        <w:spacing w:before="156"/>
        <w:ind w:firstLine="480"/>
        <w:rPr>
          <w:rFonts w:hint="eastAsia" w:ascii="宋体" w:hAnsi="宋体" w:eastAsia="宋体"/>
          <w:bCs/>
          <w:color w:val="auto"/>
          <w:sz w:val="24"/>
          <w:szCs w:val="24"/>
          <w:highlight w:val="none"/>
          <w:lang w:eastAsia="zh-CN"/>
        </w:rPr>
      </w:pPr>
      <w:r>
        <w:rPr>
          <w:rFonts w:hint="eastAsia" w:ascii="宋体" w:hAnsi="宋体" w:eastAsia="宋体"/>
          <w:bCs/>
          <w:color w:val="auto"/>
          <w:sz w:val="24"/>
          <w:szCs w:val="24"/>
          <w:highlight w:val="none"/>
          <w:lang w:eastAsia="zh-CN"/>
        </w:rPr>
        <w:t>联系电话：</w:t>
      </w:r>
    </w:p>
    <w:p>
      <w:pPr>
        <w:tabs>
          <w:tab w:val="left" w:pos="2071"/>
        </w:tabs>
        <w:snapToGrid w:val="0"/>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rPr>
        <w:tab/>
      </w:r>
    </w:p>
    <w:p>
      <w:pPr>
        <w:snapToGrid w:val="0"/>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br w:type="page"/>
      </w:r>
      <w:r>
        <w:rPr>
          <w:rFonts w:hint="eastAsia" w:ascii="仿宋" w:hAnsi="仿宋" w:eastAsia="仿宋" w:cs="仿宋"/>
          <w:sz w:val="28"/>
          <w:szCs w:val="28"/>
          <w:highlight w:val="none"/>
        </w:rPr>
        <w:t>根据《中华人民共和国民法典》及其他有关法律法规的相关规定，经甲乙双方协商一致，就</w:t>
      </w:r>
      <w:r>
        <w:rPr>
          <w:rFonts w:hint="eastAsia" w:ascii="仿宋" w:hAnsi="仿宋" w:eastAsia="仿宋" w:cs="仿宋"/>
          <w:sz w:val="28"/>
          <w:szCs w:val="28"/>
          <w:highlight w:val="none"/>
          <w:u w:val="single"/>
        </w:rPr>
        <w:t>重庆新机场</w:t>
      </w:r>
      <w:r>
        <w:rPr>
          <w:rFonts w:hint="eastAsia" w:ascii="仿宋" w:hAnsi="仿宋" w:eastAsia="仿宋" w:cs="仿宋"/>
          <w:sz w:val="28"/>
          <w:szCs w:val="28"/>
          <w:highlight w:val="none"/>
          <w:u w:val="single"/>
          <w:lang w:eastAsia="zh-CN"/>
        </w:rPr>
        <w:t>防洪专项研究</w:t>
      </w:r>
      <w:r>
        <w:rPr>
          <w:rFonts w:hint="eastAsia" w:ascii="仿宋" w:hAnsi="仿宋" w:eastAsia="仿宋" w:cs="仿宋"/>
          <w:sz w:val="28"/>
          <w:szCs w:val="28"/>
          <w:highlight w:val="none"/>
        </w:rPr>
        <w:t>咨询服务事宜签订本合同，以共同遵守。</w:t>
      </w:r>
    </w:p>
    <w:p>
      <w:pPr>
        <w:snapToGrid w:val="0"/>
        <w:spacing w:line="520" w:lineRule="exact"/>
        <w:ind w:firstLine="562" w:firstLineChars="200"/>
        <w:rPr>
          <w:rFonts w:ascii="黑体" w:hAnsi="黑体" w:eastAsia="黑体" w:cs="黑体"/>
          <w:sz w:val="28"/>
          <w:szCs w:val="28"/>
          <w:highlight w:val="none"/>
        </w:rPr>
      </w:pPr>
      <w:r>
        <w:rPr>
          <w:rFonts w:hint="eastAsia" w:ascii="黑体" w:hAnsi="黑体" w:eastAsia="黑体" w:cs="黑体"/>
          <w:b/>
          <w:sz w:val="28"/>
          <w:szCs w:val="28"/>
          <w:highlight w:val="none"/>
        </w:rPr>
        <w:t xml:space="preserve">第一条  </w:t>
      </w:r>
      <w:r>
        <w:rPr>
          <w:rFonts w:hint="eastAsia" w:ascii="黑体" w:hAnsi="黑体" w:eastAsia="黑体" w:cs="黑体"/>
          <w:b/>
          <w:bCs/>
          <w:sz w:val="28"/>
          <w:szCs w:val="28"/>
          <w:highlight w:val="none"/>
        </w:rPr>
        <w:t>咨询内容、要求</w:t>
      </w:r>
    </w:p>
    <w:p>
      <w:pPr>
        <w:pStyle w:val="17"/>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1.1 项目概况：</w:t>
      </w:r>
    </w:p>
    <w:p>
      <w:pPr>
        <w:pStyle w:val="17"/>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重庆新机场推荐场址璧山正兴位于重庆主城西部，与朝天门直线距离约48km，处于缙云山与云雾山之间的璧山槽谷，在璧山城区西南，距离约21km，东南侧紧邻丁家街道，北侧临近正兴镇。东南方向离江津城区约20km，西南方向离永川城区约18km。重庆新机场本期计划以2035年为设计目标年，年旅客吞吐量4000万人次，货邮吞吐量100万吨；远期目标年为2050年，年旅客吞吐量7000万人次，货邮吞吐量350万吨。新机场预计规划3-4条3200米-3800米的平行跑道，飞行区等级为4F级，占地约37km²。一期建设任务预计包含新建T1航站楼、两条跑道、综合交通枢纽及相关配套设施，</w:t>
      </w:r>
      <w:r>
        <w:rPr>
          <w:rFonts w:hint="eastAsia" w:ascii="仿宋" w:hAnsi="仿宋" w:eastAsia="仿宋" w:cs="仿宋"/>
          <w:sz w:val="28"/>
          <w:szCs w:val="28"/>
          <w:highlight w:val="none"/>
          <w:lang w:eastAsia="zh-CN"/>
        </w:rPr>
        <w:t>投资估算约</w:t>
      </w:r>
      <w:r>
        <w:rPr>
          <w:rFonts w:hint="eastAsia" w:ascii="仿宋" w:hAnsi="仿宋" w:eastAsia="仿宋" w:cs="仿宋"/>
          <w:sz w:val="28"/>
          <w:szCs w:val="28"/>
          <w:highlight w:val="none"/>
        </w:rPr>
        <w:t>450亿元。</w:t>
      </w:r>
    </w:p>
    <w:p>
      <w:pPr>
        <w:pStyle w:val="17"/>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按照新机场开工建设任务安排，新机场将先期开工</w:t>
      </w:r>
      <w:r>
        <w:rPr>
          <w:rFonts w:hint="eastAsia" w:ascii="仿宋" w:hAnsi="仿宋" w:eastAsia="仿宋" w:cs="仿宋"/>
          <w:sz w:val="28"/>
          <w:szCs w:val="28"/>
          <w:highlight w:val="none"/>
          <w:lang w:eastAsia="zh-CN"/>
        </w:rPr>
        <w:t>综合交通枢纽工程</w:t>
      </w:r>
      <w:r>
        <w:rPr>
          <w:rFonts w:hint="eastAsia" w:ascii="仿宋" w:hAnsi="仿宋" w:eastAsia="仿宋" w:cs="仿宋"/>
          <w:sz w:val="28"/>
          <w:szCs w:val="28"/>
          <w:highlight w:val="none"/>
        </w:rPr>
        <w:t>，后期开工民航主体工程。目前，甲方已委托开展新机场预可研、可研、总规报告编制和</w:t>
      </w:r>
      <w:r>
        <w:rPr>
          <w:rFonts w:hint="eastAsia" w:ascii="仿宋" w:hAnsi="仿宋" w:eastAsia="仿宋" w:cs="仿宋"/>
          <w:sz w:val="28"/>
          <w:szCs w:val="28"/>
          <w:highlight w:val="none"/>
          <w:lang w:eastAsia="zh-CN"/>
        </w:rPr>
        <w:t>综合交通枢纽工程</w:t>
      </w:r>
      <w:r>
        <w:rPr>
          <w:rFonts w:hint="eastAsia" w:ascii="仿宋" w:hAnsi="仿宋" w:eastAsia="仿宋" w:cs="仿宋"/>
          <w:sz w:val="28"/>
          <w:szCs w:val="28"/>
          <w:highlight w:val="none"/>
        </w:rPr>
        <w:t>立项（代可研）报告编制工作，为一体化统筹推进配套项目研究，</w:t>
      </w:r>
      <w:r>
        <w:rPr>
          <w:rFonts w:hint="eastAsia" w:ascii="仿宋" w:hAnsi="仿宋" w:eastAsia="仿宋" w:cs="仿宋"/>
          <w:sz w:val="28"/>
          <w:szCs w:val="28"/>
          <w:highlight w:val="none"/>
          <w:lang w:eastAsia="zh-CN"/>
        </w:rPr>
        <w:t>满足新机场工程预可研、可研、总规报告审批过程中防洪排涝的要求</w:t>
      </w:r>
      <w:r>
        <w:rPr>
          <w:rFonts w:hint="eastAsia" w:ascii="仿宋" w:hAnsi="仿宋" w:eastAsia="仿宋" w:cs="仿宋"/>
          <w:sz w:val="28"/>
          <w:szCs w:val="28"/>
          <w:highlight w:val="none"/>
        </w:rPr>
        <w:t>，现开展重庆新机场</w:t>
      </w:r>
      <w:r>
        <w:rPr>
          <w:rFonts w:hint="eastAsia" w:ascii="仿宋" w:hAnsi="仿宋" w:eastAsia="仿宋" w:cs="仿宋"/>
          <w:sz w:val="28"/>
          <w:szCs w:val="28"/>
          <w:highlight w:val="none"/>
          <w:lang w:eastAsia="zh-CN"/>
        </w:rPr>
        <w:t>防洪专项研究</w:t>
      </w:r>
      <w:r>
        <w:rPr>
          <w:rFonts w:hint="eastAsia" w:ascii="仿宋" w:hAnsi="仿宋" w:eastAsia="仿宋" w:cs="仿宋"/>
          <w:sz w:val="28"/>
          <w:szCs w:val="28"/>
          <w:highlight w:val="none"/>
        </w:rPr>
        <w:t>工作。</w:t>
      </w:r>
    </w:p>
    <w:p>
      <w:pPr>
        <w:pStyle w:val="17"/>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1.2 咨询内容：</w:t>
      </w:r>
    </w:p>
    <w:p>
      <w:pPr>
        <w:pStyle w:val="17"/>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（1）为保证河道正常行洪需求、河势稳定和生态环境健康协调，结合重庆新机场建设项目情况，开展重庆新机场</w:t>
      </w:r>
      <w:r>
        <w:rPr>
          <w:rFonts w:hint="eastAsia" w:ascii="仿宋" w:hAnsi="仿宋" w:eastAsia="仿宋" w:cs="仿宋"/>
          <w:sz w:val="28"/>
          <w:szCs w:val="28"/>
          <w:highlight w:val="none"/>
          <w:lang w:eastAsia="zh-CN"/>
        </w:rPr>
        <w:t>防洪专项研究</w:t>
      </w:r>
      <w:r>
        <w:rPr>
          <w:rFonts w:hint="eastAsia" w:ascii="仿宋" w:hAnsi="仿宋" w:eastAsia="仿宋" w:cs="仿宋"/>
          <w:sz w:val="28"/>
          <w:szCs w:val="28"/>
          <w:highlight w:val="none"/>
        </w:rPr>
        <w:t>工作</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对重庆新机场近期和远期工程进行区分，调查水系现状、开展水文分析、规划总体布局、设计涉河方案，与重庆新机场预可研、可研、总规报告编制和</w:t>
      </w:r>
      <w:r>
        <w:rPr>
          <w:rFonts w:hint="eastAsia" w:ascii="仿宋" w:hAnsi="仿宋" w:eastAsia="仿宋" w:cs="仿宋"/>
          <w:sz w:val="28"/>
          <w:szCs w:val="28"/>
          <w:highlight w:val="none"/>
          <w:lang w:eastAsia="zh-CN"/>
        </w:rPr>
        <w:t>综合交通枢纽工程</w:t>
      </w:r>
      <w:r>
        <w:rPr>
          <w:rFonts w:hint="eastAsia" w:ascii="仿宋" w:hAnsi="仿宋" w:eastAsia="仿宋" w:cs="仿宋"/>
          <w:sz w:val="28"/>
          <w:szCs w:val="28"/>
          <w:highlight w:val="none"/>
        </w:rPr>
        <w:t>立项（代可研）报告编制进行协调配合，确定初步治理方案，以及其他需要配合研究的内容，包括但不限于场区标高、防洪措施、调蓄水池规划等。</w:t>
      </w:r>
      <w:r>
        <w:rPr>
          <w:rFonts w:hint="eastAsia" w:ascii="仿宋" w:hAnsi="仿宋" w:eastAsia="仿宋" w:cs="仿宋"/>
          <w:sz w:val="28"/>
          <w:szCs w:val="28"/>
          <w:highlight w:val="none"/>
          <w:lang w:eastAsia="zh-CN"/>
        </w:rPr>
        <w:t>防洪专项研究</w:t>
      </w:r>
      <w:r>
        <w:rPr>
          <w:rFonts w:hint="eastAsia" w:ascii="仿宋" w:hAnsi="仿宋" w:eastAsia="仿宋" w:cs="仿宋"/>
          <w:sz w:val="28"/>
          <w:szCs w:val="28"/>
          <w:highlight w:val="none"/>
        </w:rPr>
        <w:t>范围应包含</w:t>
      </w:r>
      <w:r>
        <w:rPr>
          <w:rFonts w:hint="eastAsia" w:ascii="仿宋" w:hAnsi="仿宋" w:eastAsia="仿宋" w:cs="仿宋"/>
          <w:color w:val="000000"/>
          <w:sz w:val="28"/>
          <w:szCs w:val="28"/>
          <w:highlight w:val="none"/>
          <w:u w:val="none"/>
          <w:lang w:eastAsia="zh-CN"/>
        </w:rPr>
        <w:t>重庆新机场规划红线区域（约</w:t>
      </w:r>
      <w:r>
        <w:rPr>
          <w:rFonts w:hint="eastAsia" w:ascii="仿宋" w:hAnsi="仿宋" w:eastAsia="仿宋" w:cs="仿宋"/>
          <w:color w:val="000000"/>
          <w:sz w:val="28"/>
          <w:szCs w:val="28"/>
          <w:highlight w:val="none"/>
          <w:u w:val="none"/>
          <w:lang w:val="en-US" w:eastAsia="zh-CN"/>
        </w:rPr>
        <w:t>37km²，以下简称远期）和其中包含的一期建设区域（约21km²，以下简称近期）</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以及</w:t>
      </w:r>
      <w:r>
        <w:rPr>
          <w:rFonts w:hint="eastAsia" w:ascii="仿宋" w:hAnsi="仿宋" w:eastAsia="仿宋" w:cs="仿宋"/>
          <w:sz w:val="28"/>
          <w:szCs w:val="28"/>
          <w:highlight w:val="none"/>
        </w:rPr>
        <w:t>工程可能影响的场区外流域或区域</w:t>
      </w:r>
      <w:r>
        <w:rPr>
          <w:rFonts w:hint="eastAsia" w:ascii="仿宋" w:hAnsi="仿宋" w:eastAsia="仿宋" w:cs="仿宋"/>
          <w:sz w:val="28"/>
          <w:szCs w:val="28"/>
          <w:highlight w:val="none"/>
          <w:lang w:eastAsia="zh-CN"/>
        </w:rPr>
        <w:t>，</w:t>
      </w:r>
      <w:r>
        <w:rPr>
          <w:rFonts w:hint="eastAsia" w:ascii="仿宋" w:hAnsi="仿宋" w:eastAsia="仿宋" w:cs="仿宋"/>
          <w:color w:val="000000"/>
          <w:sz w:val="28"/>
          <w:szCs w:val="28"/>
          <w:highlight w:val="none"/>
          <w:u w:val="none"/>
          <w:lang w:eastAsia="zh-CN"/>
        </w:rPr>
        <w:t>其中近期规划应基于远期规划的研究成果开展</w:t>
      </w:r>
      <w:r>
        <w:rPr>
          <w:rFonts w:hint="eastAsia" w:ascii="仿宋" w:hAnsi="仿宋" w:eastAsia="仿宋" w:cs="仿宋"/>
          <w:sz w:val="28"/>
          <w:szCs w:val="28"/>
          <w:highlight w:val="none"/>
        </w:rPr>
        <w:t>。</w:t>
      </w:r>
    </w:p>
    <w:p>
      <w:pPr>
        <w:pStyle w:val="17"/>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防洪专项研究</w:t>
      </w:r>
      <w:r>
        <w:rPr>
          <w:rFonts w:hint="eastAsia" w:ascii="仿宋" w:hAnsi="仿宋" w:eastAsia="仿宋" w:cs="仿宋"/>
          <w:sz w:val="28"/>
          <w:szCs w:val="28"/>
          <w:highlight w:val="none"/>
        </w:rPr>
        <w:t>成果应满足行业要求和设计、建设需要，经</w:t>
      </w: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审核</w:t>
      </w:r>
      <w:r>
        <w:rPr>
          <w:rFonts w:hint="eastAsia" w:ascii="仿宋" w:hAnsi="仿宋" w:eastAsia="仿宋" w:cs="仿宋"/>
          <w:sz w:val="28"/>
          <w:szCs w:val="28"/>
          <w:highlight w:val="none"/>
          <w:lang w:eastAsia="zh-CN"/>
        </w:rPr>
        <w:t>和</w:t>
      </w:r>
      <w:r>
        <w:rPr>
          <w:rFonts w:hint="eastAsia" w:ascii="仿宋" w:hAnsi="仿宋" w:eastAsia="仿宋" w:cs="仿宋"/>
          <w:sz w:val="28"/>
          <w:szCs w:val="28"/>
          <w:highlight w:val="none"/>
        </w:rPr>
        <w:t>行业内专家评审通过，同时配合完成与本项目相关的后续支持服务，包括但不限于为重庆新机场</w:t>
      </w:r>
      <w:r>
        <w:rPr>
          <w:rFonts w:hint="eastAsia" w:ascii="仿宋" w:hAnsi="仿宋" w:eastAsia="仿宋" w:cs="仿宋"/>
          <w:sz w:val="28"/>
          <w:szCs w:val="28"/>
          <w:highlight w:val="none"/>
          <w:lang w:eastAsia="zh-CN"/>
        </w:rPr>
        <w:t>预可研、可研、总规报告审批、</w:t>
      </w:r>
      <w:r>
        <w:rPr>
          <w:rFonts w:hint="eastAsia" w:ascii="仿宋" w:hAnsi="仿宋" w:eastAsia="仿宋" w:cs="仿宋"/>
          <w:sz w:val="28"/>
          <w:szCs w:val="28"/>
          <w:highlight w:val="none"/>
        </w:rPr>
        <w:t>后续洪水影响评价评审通过提供技术支持，根据招标人的合理要求免费进行相关汇报及成果更新、提出建议等。</w:t>
      </w:r>
    </w:p>
    <w:p>
      <w:pPr>
        <w:pStyle w:val="17"/>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1.3 技术要求：</w:t>
      </w:r>
    </w:p>
    <w:p>
      <w:pPr>
        <w:pStyle w:val="17"/>
        <w:snapToGrid w:val="0"/>
        <w:spacing w:line="360" w:lineRule="auto"/>
        <w:ind w:firstLine="560" w:firstLineChars="200"/>
        <w:rPr>
          <w:rFonts w:hint="eastAsia"/>
          <w:highlight w:val="none"/>
        </w:rPr>
      </w:pPr>
      <w:r>
        <w:rPr>
          <w:rFonts w:hint="eastAsia" w:ascii="仿宋" w:hAnsi="仿宋" w:eastAsia="仿宋" w:cs="仿宋"/>
          <w:sz w:val="28"/>
          <w:szCs w:val="28"/>
          <w:highlight w:val="none"/>
        </w:rPr>
        <w:t>本项目的服务过程和成果均必须符合中华人民共和国、项目所在(省/市/自治区)的法律法规和标准，水利部及其他相关部门颁布的相关标准、规范、规程、规定、导则、办法、示例等文件，同时满足重庆新机场预可研、可研、总规报告编制</w:t>
      </w:r>
      <w:r>
        <w:rPr>
          <w:rFonts w:hint="eastAsia" w:ascii="仿宋" w:hAnsi="仿宋" w:eastAsia="仿宋" w:cs="仿宋"/>
          <w:sz w:val="28"/>
          <w:szCs w:val="28"/>
          <w:highlight w:val="none"/>
          <w:lang w:eastAsia="zh-CN"/>
        </w:rPr>
        <w:t>、审批</w:t>
      </w:r>
      <w:r>
        <w:rPr>
          <w:rFonts w:hint="eastAsia" w:ascii="仿宋" w:hAnsi="仿宋" w:eastAsia="仿宋" w:cs="仿宋"/>
          <w:sz w:val="28"/>
          <w:szCs w:val="28"/>
          <w:highlight w:val="none"/>
        </w:rPr>
        <w:t>和</w:t>
      </w:r>
      <w:r>
        <w:rPr>
          <w:rFonts w:hint="eastAsia" w:ascii="仿宋" w:hAnsi="仿宋" w:eastAsia="仿宋" w:cs="仿宋"/>
          <w:sz w:val="28"/>
          <w:szCs w:val="28"/>
          <w:highlight w:val="none"/>
          <w:lang w:eastAsia="zh-CN"/>
        </w:rPr>
        <w:t>综合交通枢纽工程</w:t>
      </w:r>
      <w:r>
        <w:rPr>
          <w:rFonts w:hint="eastAsia" w:ascii="仿宋" w:hAnsi="仿宋" w:eastAsia="仿宋" w:cs="仿宋"/>
          <w:sz w:val="28"/>
          <w:szCs w:val="28"/>
          <w:highlight w:val="none"/>
        </w:rPr>
        <w:t>立项（代可研）报告编制的相关需求</w:t>
      </w:r>
      <w:r>
        <w:rPr>
          <w:rFonts w:hint="eastAsia" w:ascii="仿宋" w:hAnsi="仿宋" w:eastAsia="仿宋" w:cs="仿宋"/>
          <w:sz w:val="28"/>
          <w:szCs w:val="28"/>
          <w:highlight w:val="none"/>
          <w:lang w:eastAsia="zh-CN"/>
        </w:rPr>
        <w:t>，以及设计、建设需要</w:t>
      </w:r>
      <w:r>
        <w:rPr>
          <w:rFonts w:hint="eastAsia" w:ascii="仿宋" w:hAnsi="仿宋" w:eastAsia="仿宋" w:cs="仿宋"/>
          <w:sz w:val="28"/>
          <w:szCs w:val="28"/>
          <w:highlight w:val="none"/>
        </w:rPr>
        <w:t>。工作深度应满足国家和重庆市相关政策，按照招标文件要求开展编制工作。在服务过程中，如果颁布新的规范或标准，则执行新规范或标准。</w:t>
      </w:r>
    </w:p>
    <w:p>
      <w:pPr>
        <w:spacing w:line="520" w:lineRule="exact"/>
        <w:ind w:firstLine="562" w:firstLineChars="200"/>
        <w:rPr>
          <w:rFonts w:ascii="黑体" w:hAnsi="黑体" w:eastAsia="黑体" w:cs="黑体"/>
          <w:b/>
          <w:sz w:val="28"/>
          <w:szCs w:val="28"/>
          <w:highlight w:val="none"/>
        </w:rPr>
      </w:pPr>
      <w:r>
        <w:rPr>
          <w:rFonts w:hint="eastAsia" w:ascii="黑体" w:hAnsi="黑体" w:eastAsia="黑体" w:cs="黑体"/>
          <w:b/>
          <w:sz w:val="28"/>
          <w:szCs w:val="28"/>
          <w:highlight w:val="none"/>
        </w:rPr>
        <w:t>第二条  服务期限</w:t>
      </w:r>
    </w:p>
    <w:p>
      <w:pPr>
        <w:snapToGrid w:val="0"/>
        <w:spacing w:line="52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2.1 自甲方正式书面通知之日起，</w:t>
      </w:r>
      <w:r>
        <w:rPr>
          <w:rFonts w:hint="eastAsia" w:ascii="仿宋" w:hAnsi="仿宋" w:eastAsia="仿宋" w:cs="仿宋"/>
          <w:sz w:val="28"/>
          <w:szCs w:val="28"/>
          <w:highlight w:val="none"/>
          <w:lang w:eastAsia="zh-CN"/>
        </w:rPr>
        <w:t>80个日历天</w:t>
      </w:r>
      <w:r>
        <w:rPr>
          <w:rFonts w:hint="eastAsia" w:ascii="仿宋" w:hAnsi="仿宋" w:eastAsia="仿宋" w:cs="仿宋"/>
          <w:sz w:val="28"/>
          <w:szCs w:val="28"/>
          <w:highlight w:val="none"/>
        </w:rPr>
        <w:t>内完成</w:t>
      </w:r>
      <w:r>
        <w:rPr>
          <w:rFonts w:hint="eastAsia" w:ascii="仿宋" w:hAnsi="仿宋" w:eastAsia="仿宋" w:cs="仿宋"/>
          <w:sz w:val="28"/>
          <w:szCs w:val="28"/>
          <w:highlight w:val="none"/>
          <w:lang w:eastAsia="zh-CN"/>
        </w:rPr>
        <w:t>防洪专项研究</w:t>
      </w:r>
      <w:r>
        <w:rPr>
          <w:rFonts w:hint="eastAsia" w:ascii="仿宋" w:hAnsi="仿宋" w:eastAsia="仿宋" w:cs="仿宋"/>
          <w:sz w:val="28"/>
          <w:szCs w:val="28"/>
          <w:highlight w:val="none"/>
        </w:rPr>
        <w:t>工作报告，经</w:t>
      </w: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审核后，及时上报并通过</w:t>
      </w:r>
      <w:r>
        <w:rPr>
          <w:rFonts w:hint="eastAsia" w:ascii="仿宋" w:hAnsi="仿宋" w:eastAsia="仿宋" w:cs="仿宋"/>
          <w:sz w:val="28"/>
          <w:szCs w:val="28"/>
          <w:highlight w:val="none"/>
          <w:lang w:eastAsia="zh-CN"/>
        </w:rPr>
        <w:t>行业内专家</w:t>
      </w:r>
      <w:r>
        <w:rPr>
          <w:rFonts w:hint="eastAsia" w:ascii="仿宋" w:hAnsi="仿宋" w:eastAsia="仿宋" w:cs="仿宋"/>
          <w:sz w:val="28"/>
          <w:szCs w:val="28"/>
          <w:highlight w:val="none"/>
        </w:rPr>
        <w:t>评审</w:t>
      </w:r>
      <w:r>
        <w:rPr>
          <w:rFonts w:hint="eastAsia" w:ascii="仿宋" w:hAnsi="仿宋" w:eastAsia="仿宋" w:cs="仿宋"/>
          <w:sz w:val="28"/>
          <w:szCs w:val="28"/>
          <w:highlight w:val="none"/>
          <w:lang w:eastAsia="zh-CN"/>
        </w:rPr>
        <w:t>认可，</w:t>
      </w:r>
      <w:r>
        <w:rPr>
          <w:rFonts w:hint="eastAsia" w:ascii="仿宋" w:hAnsi="仿宋" w:eastAsia="仿宋" w:cs="仿宋"/>
          <w:color w:val="auto"/>
          <w:sz w:val="28"/>
          <w:szCs w:val="28"/>
          <w:highlight w:val="none"/>
        </w:rPr>
        <w:t>并满足</w:t>
      </w:r>
      <w:r>
        <w:rPr>
          <w:rFonts w:hint="eastAsia" w:ascii="仿宋" w:hAnsi="仿宋" w:eastAsia="仿宋" w:cs="仿宋"/>
          <w:color w:val="auto"/>
          <w:sz w:val="28"/>
          <w:szCs w:val="28"/>
          <w:highlight w:val="none"/>
          <w:lang w:eastAsia="zh-CN"/>
        </w:rPr>
        <w:t>新</w:t>
      </w:r>
      <w:r>
        <w:rPr>
          <w:rFonts w:hint="eastAsia" w:ascii="仿宋" w:hAnsi="仿宋" w:eastAsia="仿宋" w:cs="仿宋"/>
          <w:color w:val="auto"/>
          <w:sz w:val="28"/>
          <w:szCs w:val="28"/>
          <w:highlight w:val="none"/>
        </w:rPr>
        <w:t>机场工程预可研、可研、总规报告审批过程中机场防洪排涝的要求</w:t>
      </w:r>
      <w:r>
        <w:rPr>
          <w:rFonts w:hint="eastAsia" w:ascii="仿宋" w:hAnsi="仿宋" w:eastAsia="仿宋" w:cs="仿宋"/>
          <w:sz w:val="28"/>
          <w:szCs w:val="28"/>
          <w:highlight w:val="none"/>
        </w:rPr>
        <w:t>。</w:t>
      </w:r>
    </w:p>
    <w:p>
      <w:pPr>
        <w:snapToGrid w:val="0"/>
        <w:spacing w:line="52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 xml:space="preserve"> 与本项目相关的后续支持服务工作具体时间以甲方通知为准。</w:t>
      </w:r>
    </w:p>
    <w:p>
      <w:pPr>
        <w:snapToGrid w:val="0"/>
        <w:spacing w:line="520" w:lineRule="exact"/>
        <w:ind w:firstLine="562" w:firstLineChars="200"/>
        <w:rPr>
          <w:rFonts w:ascii="黑体" w:hAnsi="黑体" w:eastAsia="黑体" w:cs="黑体"/>
          <w:sz w:val="28"/>
          <w:szCs w:val="28"/>
          <w:highlight w:val="none"/>
        </w:rPr>
      </w:pPr>
      <w:r>
        <w:rPr>
          <w:rFonts w:hint="eastAsia" w:ascii="黑体" w:hAnsi="黑体" w:eastAsia="黑体" w:cs="黑体"/>
          <w:b/>
          <w:sz w:val="28"/>
          <w:szCs w:val="28"/>
          <w:highlight w:val="none"/>
        </w:rPr>
        <w:t>第三条</w:t>
      </w:r>
      <w:r>
        <w:rPr>
          <w:rFonts w:hint="eastAsia" w:ascii="黑体" w:hAnsi="黑体" w:eastAsia="黑体" w:cs="黑体"/>
          <w:sz w:val="28"/>
          <w:szCs w:val="28"/>
          <w:highlight w:val="none"/>
        </w:rPr>
        <w:t xml:space="preserve">  </w:t>
      </w:r>
      <w:r>
        <w:rPr>
          <w:rFonts w:hint="eastAsia" w:ascii="黑体" w:hAnsi="黑体" w:eastAsia="黑体" w:cs="黑体"/>
          <w:b/>
          <w:bCs/>
          <w:sz w:val="28"/>
          <w:szCs w:val="28"/>
          <w:highlight w:val="none"/>
        </w:rPr>
        <w:t>咨询工作成果</w:t>
      </w:r>
    </w:p>
    <w:p>
      <w:pPr>
        <w:snapToGrid w:val="0"/>
        <w:spacing w:line="520" w:lineRule="exact"/>
        <w:ind w:firstLine="560" w:firstLineChars="200"/>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3.1 乙方提交咨询工作成果及形式：</w:t>
      </w:r>
    </w:p>
    <w:p>
      <w:pPr>
        <w:snapToGrid w:val="0"/>
        <w:spacing w:line="520" w:lineRule="exact"/>
        <w:ind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u w:val="single"/>
        </w:rPr>
        <w:t>重庆新机场</w:t>
      </w:r>
      <w:r>
        <w:rPr>
          <w:rFonts w:hint="eastAsia" w:ascii="仿宋" w:hAnsi="仿宋" w:eastAsia="仿宋" w:cs="仿宋"/>
          <w:sz w:val="28"/>
          <w:szCs w:val="28"/>
          <w:highlight w:val="none"/>
          <w:u w:val="single"/>
          <w:lang w:eastAsia="zh-CN"/>
        </w:rPr>
        <w:t>防洪专项研究</w:t>
      </w:r>
      <w:r>
        <w:rPr>
          <w:rFonts w:hint="eastAsia" w:ascii="仿宋" w:hAnsi="仿宋" w:eastAsia="仿宋" w:cs="仿宋"/>
          <w:sz w:val="28"/>
          <w:szCs w:val="28"/>
          <w:highlight w:val="none"/>
          <w:u w:val="single"/>
        </w:rPr>
        <w:t>报告及相关附表、附图、</w:t>
      </w:r>
      <w:r>
        <w:rPr>
          <w:rFonts w:hint="eastAsia" w:ascii="仿宋" w:hAnsi="仿宋" w:eastAsia="仿宋" w:cs="仿宋"/>
          <w:sz w:val="28"/>
          <w:szCs w:val="28"/>
          <w:highlight w:val="none"/>
          <w:u w:val="single"/>
          <w:lang w:eastAsia="zh-CN"/>
        </w:rPr>
        <w:t>专家评审</w:t>
      </w:r>
      <w:r>
        <w:rPr>
          <w:rFonts w:hint="eastAsia" w:ascii="仿宋" w:hAnsi="仿宋" w:eastAsia="仿宋" w:cs="仿宋"/>
          <w:sz w:val="28"/>
          <w:szCs w:val="28"/>
          <w:highlight w:val="none"/>
          <w:u w:val="single"/>
        </w:rPr>
        <w:t>意见等</w:t>
      </w:r>
      <w:r>
        <w:rPr>
          <w:rFonts w:hint="eastAsia" w:ascii="仿宋" w:hAnsi="仿宋" w:eastAsia="仿宋" w:cs="仿宋"/>
          <w:sz w:val="28"/>
          <w:szCs w:val="28"/>
          <w:highlight w:val="none"/>
          <w:u w:val="single"/>
          <w:lang w:eastAsia="zh-CN"/>
        </w:rPr>
        <w:t>与本项目有关的</w:t>
      </w:r>
      <w:r>
        <w:rPr>
          <w:rFonts w:hint="eastAsia" w:ascii="仿宋" w:hAnsi="仿宋" w:eastAsia="仿宋" w:cs="仿宋"/>
          <w:sz w:val="28"/>
          <w:szCs w:val="28"/>
          <w:highlight w:val="none"/>
          <w:u w:val="single"/>
        </w:rPr>
        <w:t>全套资料，纸质版6套，电子版1套。纸质版数量根据甲方实际需求可适量增减。</w:t>
      </w:r>
    </w:p>
    <w:p>
      <w:pPr>
        <w:snapToGrid w:val="0"/>
        <w:spacing w:line="520" w:lineRule="exact"/>
        <w:ind w:firstLine="560" w:firstLineChars="200"/>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3.2 咨询工作成果的验收标准：</w:t>
      </w:r>
    </w:p>
    <w:p>
      <w:pPr>
        <w:snapToGrid w:val="0"/>
        <w:spacing w:line="520" w:lineRule="exact"/>
        <w:ind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u w:val="single"/>
        </w:rPr>
        <w:t>按甲方要求，</w:t>
      </w:r>
      <w:r>
        <w:rPr>
          <w:rFonts w:hint="eastAsia" w:ascii="仿宋" w:hAnsi="仿宋" w:eastAsia="仿宋" w:cs="仿宋"/>
          <w:sz w:val="28"/>
          <w:szCs w:val="28"/>
          <w:highlight w:val="none"/>
          <w:u w:val="single"/>
          <w:lang w:eastAsia="zh-CN"/>
        </w:rPr>
        <w:t>结合</w:t>
      </w:r>
      <w:r>
        <w:rPr>
          <w:rFonts w:hint="eastAsia" w:ascii="仿宋" w:hAnsi="仿宋" w:eastAsia="仿宋" w:cs="仿宋"/>
          <w:sz w:val="28"/>
          <w:szCs w:val="28"/>
          <w:highlight w:val="none"/>
          <w:u w:val="single"/>
        </w:rPr>
        <w:t>重庆新机场预可研、可研、总规报告编制</w:t>
      </w:r>
      <w:r>
        <w:rPr>
          <w:rFonts w:hint="eastAsia" w:ascii="仿宋" w:hAnsi="仿宋" w:eastAsia="仿宋" w:cs="仿宋"/>
          <w:sz w:val="28"/>
          <w:szCs w:val="28"/>
          <w:highlight w:val="none"/>
          <w:u w:val="single"/>
          <w:lang w:eastAsia="zh-CN"/>
        </w:rPr>
        <w:t>、审批</w:t>
      </w:r>
      <w:r>
        <w:rPr>
          <w:rFonts w:hint="eastAsia" w:ascii="仿宋" w:hAnsi="仿宋" w:eastAsia="仿宋" w:cs="仿宋"/>
          <w:sz w:val="28"/>
          <w:szCs w:val="28"/>
          <w:highlight w:val="none"/>
          <w:u w:val="single"/>
        </w:rPr>
        <w:t>和</w:t>
      </w:r>
      <w:r>
        <w:rPr>
          <w:rFonts w:hint="eastAsia" w:ascii="仿宋" w:hAnsi="仿宋" w:eastAsia="仿宋" w:cs="仿宋"/>
          <w:sz w:val="28"/>
          <w:szCs w:val="28"/>
          <w:highlight w:val="none"/>
          <w:u w:val="single"/>
          <w:lang w:eastAsia="zh-CN"/>
        </w:rPr>
        <w:t>综合交通枢纽工程</w:t>
      </w:r>
      <w:r>
        <w:rPr>
          <w:rFonts w:hint="eastAsia" w:ascii="仿宋" w:hAnsi="仿宋" w:eastAsia="仿宋" w:cs="仿宋"/>
          <w:sz w:val="28"/>
          <w:szCs w:val="28"/>
          <w:highlight w:val="none"/>
          <w:u w:val="single"/>
        </w:rPr>
        <w:t>立项（代可研）报告编制</w:t>
      </w:r>
      <w:r>
        <w:rPr>
          <w:rFonts w:hint="eastAsia" w:ascii="仿宋" w:hAnsi="仿宋" w:eastAsia="仿宋" w:cs="仿宋"/>
          <w:sz w:val="28"/>
          <w:szCs w:val="28"/>
          <w:highlight w:val="none"/>
          <w:u w:val="single"/>
          <w:lang w:eastAsia="zh-CN"/>
        </w:rPr>
        <w:t>需求，</w:t>
      </w:r>
      <w:r>
        <w:rPr>
          <w:rFonts w:hint="eastAsia" w:ascii="仿宋" w:hAnsi="仿宋" w:eastAsia="仿宋" w:cs="仿宋"/>
          <w:sz w:val="28"/>
          <w:szCs w:val="28"/>
          <w:highlight w:val="none"/>
          <w:u w:val="single"/>
        </w:rPr>
        <w:t>完成重庆新机场</w:t>
      </w:r>
      <w:r>
        <w:rPr>
          <w:rFonts w:hint="eastAsia" w:ascii="仿宋" w:hAnsi="仿宋" w:eastAsia="仿宋" w:cs="仿宋"/>
          <w:sz w:val="28"/>
          <w:szCs w:val="28"/>
          <w:highlight w:val="none"/>
          <w:u w:val="single"/>
          <w:lang w:eastAsia="zh-CN"/>
        </w:rPr>
        <w:t>防洪专项研究</w:t>
      </w:r>
      <w:r>
        <w:rPr>
          <w:rFonts w:hint="eastAsia" w:ascii="仿宋" w:hAnsi="仿宋" w:eastAsia="仿宋" w:cs="仿宋"/>
          <w:sz w:val="28"/>
          <w:szCs w:val="28"/>
          <w:highlight w:val="none"/>
          <w:u w:val="single"/>
        </w:rPr>
        <w:t>工作，提供正式的</w:t>
      </w:r>
      <w:r>
        <w:rPr>
          <w:rFonts w:hint="eastAsia" w:ascii="仿宋" w:hAnsi="仿宋" w:eastAsia="仿宋" w:cs="仿宋"/>
          <w:sz w:val="28"/>
          <w:szCs w:val="28"/>
          <w:highlight w:val="none"/>
          <w:u w:val="single"/>
          <w:lang w:eastAsia="zh-CN"/>
        </w:rPr>
        <w:t>防洪专项研究</w:t>
      </w:r>
      <w:r>
        <w:rPr>
          <w:rFonts w:hint="eastAsia" w:ascii="仿宋" w:hAnsi="仿宋" w:eastAsia="仿宋" w:cs="仿宋"/>
          <w:sz w:val="28"/>
          <w:szCs w:val="28"/>
          <w:highlight w:val="none"/>
          <w:u w:val="single"/>
        </w:rPr>
        <w:t>报告，并通过</w:t>
      </w:r>
      <w:r>
        <w:rPr>
          <w:rFonts w:hint="eastAsia" w:ascii="仿宋" w:hAnsi="仿宋" w:eastAsia="仿宋" w:cs="仿宋"/>
          <w:sz w:val="28"/>
          <w:szCs w:val="28"/>
          <w:highlight w:val="none"/>
          <w:u w:val="single"/>
          <w:lang w:eastAsia="zh-CN"/>
        </w:rPr>
        <w:t>行业内专家</w:t>
      </w:r>
      <w:r>
        <w:rPr>
          <w:rFonts w:hint="eastAsia" w:ascii="仿宋" w:hAnsi="仿宋" w:eastAsia="仿宋" w:cs="仿宋"/>
          <w:sz w:val="28"/>
          <w:szCs w:val="28"/>
          <w:highlight w:val="none"/>
          <w:u w:val="single"/>
        </w:rPr>
        <w:t>评审</w:t>
      </w:r>
      <w:r>
        <w:rPr>
          <w:rFonts w:hint="eastAsia" w:ascii="仿宋" w:hAnsi="仿宋" w:eastAsia="仿宋" w:cs="仿宋"/>
          <w:sz w:val="28"/>
          <w:szCs w:val="28"/>
          <w:highlight w:val="none"/>
          <w:u w:val="single"/>
          <w:lang w:eastAsia="zh-CN"/>
        </w:rPr>
        <w:t>认可</w:t>
      </w:r>
      <w:r>
        <w:rPr>
          <w:rFonts w:hint="eastAsia" w:ascii="仿宋" w:hAnsi="仿宋" w:eastAsia="仿宋" w:cs="仿宋"/>
          <w:sz w:val="28"/>
          <w:szCs w:val="28"/>
          <w:highlight w:val="none"/>
          <w:u w:val="single"/>
        </w:rPr>
        <w:t>，提供完整的全套资料及完善的后续支持服务</w:t>
      </w:r>
      <w:r>
        <w:rPr>
          <w:rFonts w:hint="eastAsia" w:ascii="仿宋" w:hAnsi="仿宋" w:eastAsia="仿宋" w:cs="仿宋"/>
          <w:sz w:val="28"/>
          <w:szCs w:val="28"/>
          <w:highlight w:val="none"/>
          <w:u w:val="single"/>
          <w:lang w:eastAsia="zh-CN"/>
        </w:rPr>
        <w:t>，包括但不限于为重庆新机场预可研、可研、总规报告审批、后续洪水影响评价评审通过提供技术支持，根据招标人的合理要求免费进行相关汇报及成果更新、提出建议等。</w:t>
      </w:r>
    </w:p>
    <w:p>
      <w:pPr>
        <w:snapToGrid w:val="0"/>
        <w:spacing w:line="520" w:lineRule="exact"/>
        <w:ind w:firstLine="560" w:firstLineChars="200"/>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3.3 咨询工作成果的验收方法：</w:t>
      </w:r>
    </w:p>
    <w:p>
      <w:pPr>
        <w:snapToGrid w:val="0"/>
        <w:spacing w:line="520" w:lineRule="exact"/>
        <w:ind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u w:val="single"/>
        </w:rPr>
        <w:t>阶段及最终成果验收结果以甲方审核、</w:t>
      </w:r>
      <w:r>
        <w:rPr>
          <w:rFonts w:hint="eastAsia" w:ascii="仿宋" w:hAnsi="仿宋" w:eastAsia="仿宋" w:cs="仿宋"/>
          <w:sz w:val="28"/>
          <w:szCs w:val="28"/>
          <w:highlight w:val="none"/>
          <w:u w:val="single"/>
          <w:lang w:eastAsia="zh-CN"/>
        </w:rPr>
        <w:t>行业内专家</w:t>
      </w:r>
      <w:r>
        <w:rPr>
          <w:rFonts w:hint="eastAsia" w:ascii="仿宋" w:hAnsi="仿宋" w:eastAsia="仿宋" w:cs="仿宋"/>
          <w:sz w:val="28"/>
          <w:szCs w:val="28"/>
          <w:highlight w:val="none"/>
          <w:u w:val="single"/>
        </w:rPr>
        <w:t>评审结果为准。因甲方延期验收的，验收时间以甲方通知为准。</w:t>
      </w:r>
    </w:p>
    <w:p>
      <w:pPr>
        <w:snapToGrid w:val="0"/>
        <w:spacing w:line="52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3.4 验收的时间：</w:t>
      </w:r>
    </w:p>
    <w:p>
      <w:pPr>
        <w:snapToGrid w:val="0"/>
        <w:spacing w:before="0" w:beforeLines="-2147483648" w:line="520" w:lineRule="exact"/>
        <w:ind w:firstLine="560" w:firstLineChars="200"/>
        <w:rPr>
          <w:rFonts w:hint="eastAsia" w:ascii="宋体" w:hAnsi="宋体"/>
          <w:b/>
          <w:sz w:val="24"/>
          <w:szCs w:val="24"/>
          <w:highlight w:val="none"/>
        </w:rPr>
      </w:pPr>
      <w:r>
        <w:rPr>
          <w:rFonts w:hint="eastAsia" w:ascii="仿宋" w:hAnsi="仿宋" w:eastAsia="仿宋" w:cs="仿宋"/>
          <w:sz w:val="28"/>
          <w:szCs w:val="28"/>
          <w:highlight w:val="none"/>
          <w:u w:val="single"/>
        </w:rPr>
        <w:t>阶段及最终成果验收的时间均为通过</w:t>
      </w:r>
      <w:r>
        <w:rPr>
          <w:rFonts w:hint="eastAsia" w:ascii="仿宋" w:hAnsi="仿宋" w:eastAsia="仿宋" w:cs="仿宋"/>
          <w:sz w:val="28"/>
          <w:szCs w:val="28"/>
          <w:highlight w:val="none"/>
          <w:u w:val="single"/>
          <w:lang w:eastAsia="zh-CN"/>
        </w:rPr>
        <w:t>行业内专家</w:t>
      </w:r>
      <w:r>
        <w:rPr>
          <w:rFonts w:hint="eastAsia" w:ascii="仿宋" w:hAnsi="仿宋" w:eastAsia="仿宋" w:cs="仿宋"/>
          <w:sz w:val="28"/>
          <w:szCs w:val="28"/>
          <w:highlight w:val="none"/>
          <w:u w:val="single"/>
        </w:rPr>
        <w:t>评审，并取得相应审查</w:t>
      </w:r>
      <w:r>
        <w:rPr>
          <w:rFonts w:hint="eastAsia" w:ascii="仿宋" w:hAnsi="仿宋" w:eastAsia="仿宋" w:cs="仿宋"/>
          <w:sz w:val="28"/>
          <w:szCs w:val="28"/>
          <w:highlight w:val="none"/>
          <w:u w:val="single"/>
          <w:lang w:eastAsia="zh-CN"/>
        </w:rPr>
        <w:t>认可</w:t>
      </w:r>
      <w:r>
        <w:rPr>
          <w:rFonts w:hint="eastAsia" w:ascii="仿宋" w:hAnsi="仿宋" w:eastAsia="仿宋" w:cs="仿宋"/>
          <w:sz w:val="28"/>
          <w:szCs w:val="28"/>
          <w:highlight w:val="none"/>
          <w:u w:val="single"/>
        </w:rPr>
        <w:t xml:space="preserve">意见后。  </w:t>
      </w:r>
    </w:p>
    <w:p>
      <w:pPr>
        <w:spacing w:before="120" w:beforeLines="50" w:line="360" w:lineRule="auto"/>
        <w:rPr>
          <w:rFonts w:ascii="宋体" w:hAnsi="宋体"/>
          <w:b/>
          <w:sz w:val="24"/>
          <w:szCs w:val="24"/>
          <w:highlight w:val="none"/>
        </w:rPr>
      </w:pPr>
      <w:r>
        <w:rPr>
          <w:rFonts w:hint="eastAsia" w:ascii="宋体" w:hAnsi="宋体"/>
          <w:b/>
          <w:sz w:val="24"/>
          <w:szCs w:val="24"/>
          <w:highlight w:val="none"/>
        </w:rPr>
        <w:t>乙方应向甲方交付的报告、成果、文件：</w:t>
      </w:r>
    </w:p>
    <w:tbl>
      <w:tblPr>
        <w:tblStyle w:val="15"/>
        <w:tblW w:w="99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3791"/>
        <w:gridCol w:w="1212"/>
        <w:gridCol w:w="1627"/>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7" w:type="dxa"/>
            <w:vAlign w:val="center"/>
          </w:tcPr>
          <w:p>
            <w:pPr>
              <w:jc w:val="center"/>
              <w:textAlignment w:val="center"/>
              <w:rPr>
                <w:rFonts w:ascii="宋体" w:hAnsi="宋体"/>
                <w:sz w:val="24"/>
                <w:szCs w:val="24"/>
                <w:highlight w:val="none"/>
              </w:rPr>
            </w:pPr>
            <w:r>
              <w:rPr>
                <w:rFonts w:hint="eastAsia" w:ascii="宋体" w:hAnsi="宋体"/>
                <w:sz w:val="24"/>
                <w:szCs w:val="24"/>
                <w:highlight w:val="none"/>
              </w:rPr>
              <w:t>序号</w:t>
            </w:r>
          </w:p>
        </w:tc>
        <w:tc>
          <w:tcPr>
            <w:tcW w:w="3791" w:type="dxa"/>
            <w:vAlign w:val="center"/>
          </w:tcPr>
          <w:p>
            <w:pPr>
              <w:jc w:val="center"/>
              <w:textAlignment w:val="center"/>
              <w:rPr>
                <w:rFonts w:ascii="宋体" w:hAnsi="宋体"/>
                <w:sz w:val="24"/>
                <w:szCs w:val="24"/>
                <w:highlight w:val="none"/>
              </w:rPr>
            </w:pPr>
            <w:r>
              <w:rPr>
                <w:rFonts w:hint="eastAsia" w:ascii="宋体" w:hAnsi="宋体"/>
                <w:sz w:val="24"/>
                <w:szCs w:val="24"/>
                <w:highlight w:val="none"/>
              </w:rPr>
              <w:t>报告、成果、文件名称</w:t>
            </w:r>
          </w:p>
        </w:tc>
        <w:tc>
          <w:tcPr>
            <w:tcW w:w="1212" w:type="dxa"/>
            <w:vAlign w:val="center"/>
          </w:tcPr>
          <w:p>
            <w:pPr>
              <w:jc w:val="center"/>
              <w:textAlignment w:val="center"/>
              <w:rPr>
                <w:rFonts w:ascii="宋体" w:hAnsi="宋体"/>
                <w:sz w:val="24"/>
                <w:szCs w:val="24"/>
                <w:highlight w:val="none"/>
              </w:rPr>
            </w:pPr>
            <w:r>
              <w:rPr>
                <w:rFonts w:hint="eastAsia" w:ascii="宋体" w:hAnsi="宋体"/>
                <w:sz w:val="24"/>
                <w:szCs w:val="24"/>
                <w:highlight w:val="none"/>
              </w:rPr>
              <w:t>份数</w:t>
            </w:r>
          </w:p>
        </w:tc>
        <w:tc>
          <w:tcPr>
            <w:tcW w:w="1627" w:type="dxa"/>
            <w:vAlign w:val="center"/>
          </w:tcPr>
          <w:p>
            <w:pPr>
              <w:jc w:val="center"/>
              <w:textAlignment w:val="center"/>
              <w:rPr>
                <w:rFonts w:ascii="宋体" w:hAnsi="宋体"/>
                <w:sz w:val="24"/>
                <w:szCs w:val="24"/>
                <w:highlight w:val="none"/>
              </w:rPr>
            </w:pPr>
            <w:r>
              <w:rPr>
                <w:rFonts w:hint="eastAsia" w:ascii="宋体" w:hAnsi="宋体"/>
                <w:sz w:val="24"/>
                <w:szCs w:val="24"/>
                <w:highlight w:val="none"/>
              </w:rPr>
              <w:t>内容要求</w:t>
            </w:r>
          </w:p>
        </w:tc>
        <w:tc>
          <w:tcPr>
            <w:tcW w:w="2268" w:type="dxa"/>
            <w:vAlign w:val="center"/>
          </w:tcPr>
          <w:p>
            <w:pPr>
              <w:jc w:val="center"/>
              <w:textAlignment w:val="center"/>
              <w:rPr>
                <w:rFonts w:ascii="宋体" w:hAnsi="宋体"/>
                <w:sz w:val="24"/>
                <w:szCs w:val="24"/>
                <w:highlight w:val="none"/>
              </w:rPr>
            </w:pPr>
            <w:r>
              <w:rPr>
                <w:rFonts w:hint="eastAsia" w:ascii="宋体" w:hAnsi="宋体"/>
                <w:sz w:val="24"/>
                <w:szCs w:val="24"/>
                <w:highlight w:val="none"/>
              </w:rPr>
              <w:t>交付时间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jc w:val="center"/>
        </w:trPr>
        <w:tc>
          <w:tcPr>
            <w:tcW w:w="1007" w:type="dxa"/>
            <w:vAlign w:val="center"/>
          </w:tcPr>
          <w:p>
            <w:pPr>
              <w:jc w:val="center"/>
              <w:textAlignment w:val="center"/>
              <w:rPr>
                <w:rFonts w:ascii="宋体" w:hAnsi="宋体"/>
                <w:sz w:val="24"/>
                <w:szCs w:val="24"/>
                <w:highlight w:val="none"/>
              </w:rPr>
            </w:pPr>
            <w:r>
              <w:rPr>
                <w:rFonts w:hint="eastAsia" w:ascii="宋体" w:hAnsi="宋体"/>
                <w:sz w:val="24"/>
                <w:szCs w:val="24"/>
                <w:highlight w:val="none"/>
              </w:rPr>
              <w:t>1</w:t>
            </w:r>
          </w:p>
        </w:tc>
        <w:tc>
          <w:tcPr>
            <w:tcW w:w="3791" w:type="dxa"/>
            <w:vAlign w:val="center"/>
          </w:tcPr>
          <w:p>
            <w:pPr>
              <w:rPr>
                <w:highlight w:val="none"/>
              </w:rPr>
            </w:pPr>
            <w:r>
              <w:rPr>
                <w:rFonts w:hint="eastAsia" w:ascii="宋体" w:hAnsi="宋体"/>
                <w:sz w:val="24"/>
                <w:szCs w:val="24"/>
                <w:highlight w:val="none"/>
              </w:rPr>
              <w:t>重庆新机场</w:t>
            </w:r>
            <w:r>
              <w:rPr>
                <w:rFonts w:hint="eastAsia" w:ascii="宋体" w:hAnsi="宋体"/>
                <w:sz w:val="24"/>
                <w:szCs w:val="24"/>
                <w:highlight w:val="none"/>
                <w:lang w:eastAsia="zh-CN"/>
              </w:rPr>
              <w:t>防洪专项研究</w:t>
            </w:r>
            <w:r>
              <w:rPr>
                <w:rFonts w:hint="eastAsia" w:ascii="宋体" w:hAnsi="宋体"/>
                <w:sz w:val="24"/>
                <w:szCs w:val="24"/>
                <w:highlight w:val="none"/>
              </w:rPr>
              <w:t>报告及相关附表、附图、</w:t>
            </w:r>
            <w:r>
              <w:rPr>
                <w:rFonts w:hint="eastAsia" w:ascii="宋体" w:hAnsi="宋体"/>
                <w:sz w:val="24"/>
                <w:szCs w:val="24"/>
                <w:highlight w:val="none"/>
                <w:lang w:eastAsia="zh-CN"/>
              </w:rPr>
              <w:t>行业</w:t>
            </w:r>
          </w:p>
          <w:p>
            <w:pPr>
              <w:jc w:val="center"/>
              <w:textAlignment w:val="auto"/>
              <w:rPr>
                <w:rFonts w:hint="eastAsia" w:ascii="宋体" w:hAnsi="宋体"/>
                <w:sz w:val="24"/>
                <w:szCs w:val="24"/>
                <w:highlight w:val="none"/>
              </w:rPr>
            </w:pPr>
            <w:r>
              <w:rPr>
                <w:rFonts w:hint="eastAsia" w:ascii="宋体" w:hAnsi="宋体"/>
                <w:sz w:val="24"/>
                <w:szCs w:val="24"/>
                <w:highlight w:val="none"/>
                <w:lang w:eastAsia="zh-CN"/>
              </w:rPr>
              <w:t>内专家评审认可</w:t>
            </w:r>
            <w:r>
              <w:rPr>
                <w:rFonts w:hint="eastAsia" w:ascii="宋体" w:hAnsi="宋体"/>
                <w:sz w:val="24"/>
                <w:szCs w:val="24"/>
                <w:highlight w:val="none"/>
              </w:rPr>
              <w:t>意见</w:t>
            </w:r>
          </w:p>
        </w:tc>
        <w:tc>
          <w:tcPr>
            <w:tcW w:w="1212" w:type="dxa"/>
            <w:vAlign w:val="center"/>
          </w:tcPr>
          <w:p>
            <w:pPr>
              <w:jc w:val="center"/>
              <w:textAlignment w:val="center"/>
              <w:rPr>
                <w:rFonts w:ascii="宋体" w:hAnsi="宋体"/>
                <w:sz w:val="24"/>
                <w:szCs w:val="24"/>
                <w:highlight w:val="none"/>
              </w:rPr>
            </w:pPr>
            <w:r>
              <w:rPr>
                <w:rFonts w:hint="eastAsia" w:ascii="宋体" w:hAnsi="宋体"/>
                <w:sz w:val="24"/>
                <w:szCs w:val="24"/>
                <w:highlight w:val="none"/>
              </w:rPr>
              <w:t>纸质版6套，电子版1套</w:t>
            </w:r>
          </w:p>
        </w:tc>
        <w:tc>
          <w:tcPr>
            <w:tcW w:w="1627" w:type="dxa"/>
            <w:vAlign w:val="center"/>
          </w:tcPr>
          <w:p>
            <w:pPr>
              <w:jc w:val="center"/>
              <w:textAlignment w:val="center"/>
              <w:rPr>
                <w:rFonts w:hint="eastAsia" w:ascii="宋体" w:hAnsi="宋体"/>
                <w:sz w:val="24"/>
                <w:szCs w:val="24"/>
                <w:highlight w:val="none"/>
              </w:rPr>
            </w:pPr>
            <w:r>
              <w:rPr>
                <w:rFonts w:hint="eastAsia" w:ascii="宋体" w:hAnsi="宋体"/>
                <w:sz w:val="24"/>
                <w:szCs w:val="24"/>
                <w:highlight w:val="none"/>
              </w:rPr>
              <w:t>符合国家和地方政策、行业要求和</w:t>
            </w:r>
            <w:r>
              <w:rPr>
                <w:rFonts w:hint="eastAsia" w:ascii="宋体" w:hAnsi="宋体"/>
                <w:sz w:val="24"/>
                <w:szCs w:val="24"/>
                <w:highlight w:val="none"/>
                <w:lang w:eastAsia="zh-CN"/>
              </w:rPr>
              <w:t>新机场相关预可、可研、</w:t>
            </w:r>
            <w:r>
              <w:rPr>
                <w:rFonts w:hint="eastAsia" w:ascii="宋体" w:hAnsi="宋体"/>
                <w:sz w:val="24"/>
                <w:szCs w:val="24"/>
                <w:highlight w:val="none"/>
              </w:rPr>
              <w:t>设计、建设需要</w:t>
            </w:r>
          </w:p>
        </w:tc>
        <w:tc>
          <w:tcPr>
            <w:tcW w:w="2268" w:type="dxa"/>
            <w:vAlign w:val="center"/>
          </w:tcPr>
          <w:p>
            <w:pPr>
              <w:jc w:val="center"/>
              <w:textAlignment w:val="center"/>
              <w:rPr>
                <w:sz w:val="24"/>
                <w:szCs w:val="24"/>
                <w:highlight w:val="none"/>
              </w:rPr>
            </w:pPr>
            <w:r>
              <w:rPr>
                <w:rFonts w:hint="eastAsia" w:ascii="宋体" w:hAnsi="宋体"/>
                <w:sz w:val="24"/>
                <w:szCs w:val="24"/>
                <w:highlight w:val="none"/>
              </w:rPr>
              <w:t>自甲方正式书面通知之日起，</w:t>
            </w:r>
            <w:r>
              <w:rPr>
                <w:rFonts w:hint="eastAsia" w:ascii="宋体" w:hAnsi="宋体"/>
                <w:sz w:val="24"/>
                <w:szCs w:val="24"/>
                <w:highlight w:val="none"/>
                <w:lang w:eastAsia="zh-CN"/>
              </w:rPr>
              <w:t>80个日历天</w:t>
            </w:r>
            <w:r>
              <w:rPr>
                <w:rFonts w:hint="eastAsia" w:ascii="宋体" w:hAnsi="宋体"/>
                <w:sz w:val="24"/>
                <w:szCs w:val="24"/>
                <w:highlight w:val="none"/>
              </w:rPr>
              <w:t>内</w:t>
            </w:r>
          </w:p>
        </w:tc>
      </w:tr>
    </w:tbl>
    <w:p>
      <w:pPr>
        <w:snapToGrid w:val="0"/>
        <w:ind w:firstLine="560" w:firstLineChars="200"/>
        <w:jc w:val="center"/>
        <w:textAlignment w:val="center"/>
        <w:rPr>
          <w:rFonts w:ascii="仿宋" w:hAnsi="仿宋" w:eastAsia="仿宋" w:cs="仿宋"/>
          <w:sz w:val="28"/>
          <w:szCs w:val="28"/>
          <w:highlight w:val="none"/>
        </w:rPr>
      </w:pPr>
    </w:p>
    <w:p>
      <w:pPr>
        <w:adjustRightInd w:val="0"/>
        <w:snapToGrid w:val="0"/>
        <w:spacing w:line="560" w:lineRule="exact"/>
        <w:ind w:firstLine="562"/>
        <w:rPr>
          <w:rFonts w:ascii="黑体" w:hAnsi="黑体" w:eastAsia="黑体" w:cs="黑体"/>
          <w:b/>
          <w:bCs/>
          <w:color w:val="000000"/>
          <w:sz w:val="28"/>
          <w:szCs w:val="28"/>
          <w:highlight w:val="none"/>
        </w:rPr>
      </w:pPr>
      <w:r>
        <w:rPr>
          <w:rFonts w:hint="eastAsia" w:ascii="黑体" w:hAnsi="黑体" w:eastAsia="黑体" w:cs="黑体"/>
          <w:b/>
          <w:bCs/>
          <w:color w:val="000000"/>
          <w:sz w:val="28"/>
          <w:szCs w:val="28"/>
          <w:highlight w:val="none"/>
        </w:rPr>
        <w:t>第四条  成果权属</w:t>
      </w:r>
    </w:p>
    <w:p>
      <w:pPr>
        <w:adjustRightInd w:val="0"/>
        <w:snapToGrid w:val="0"/>
        <w:spacing w:line="560" w:lineRule="exact"/>
        <w:ind w:firstLine="56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甲方拥有本合同项目的所有中间成果和最终成果，以及与之相关的所有权利。所有提交给甲方的咨询服务文件及相关的资料的最后文本，包括为履行技术咨询服务范围所编制的图纸、计划和证明资料等，都属于甲方的财产。未经甲方的书面同意，乙方不得将上述资料用于与本咨询服务项目之外的任何项目。</w:t>
      </w:r>
    </w:p>
    <w:p>
      <w:pPr>
        <w:adjustRightInd w:val="0"/>
        <w:snapToGrid w:val="0"/>
        <w:spacing w:line="560" w:lineRule="exact"/>
        <w:ind w:firstLine="562"/>
        <w:rPr>
          <w:rFonts w:hint="eastAsia" w:ascii="黑体" w:hAnsi="黑体" w:eastAsia="黑体" w:cs="黑体"/>
          <w:b/>
          <w:bCs/>
          <w:color w:val="000000"/>
          <w:sz w:val="28"/>
          <w:szCs w:val="28"/>
          <w:highlight w:val="none"/>
        </w:rPr>
      </w:pPr>
      <w:r>
        <w:rPr>
          <w:rFonts w:hint="eastAsia" w:ascii="黑体" w:hAnsi="黑体" w:eastAsia="黑体" w:cs="黑体"/>
          <w:b/>
          <w:bCs/>
          <w:color w:val="000000"/>
          <w:sz w:val="28"/>
          <w:szCs w:val="28"/>
          <w:highlight w:val="none"/>
        </w:rPr>
        <w:t>第五条 履约保证金</w:t>
      </w:r>
    </w:p>
    <w:p>
      <w:pPr>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5.1</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乙方应在中标通知书发出</w:t>
      </w:r>
      <w:r>
        <w:rPr>
          <w:rFonts w:hint="eastAsia" w:ascii="仿宋" w:hAnsi="仿宋" w:eastAsia="仿宋" w:cs="仿宋"/>
          <w:color w:val="000000"/>
          <w:sz w:val="28"/>
          <w:szCs w:val="28"/>
          <w:highlight w:val="none"/>
          <w:u w:val="single"/>
        </w:rPr>
        <w:t xml:space="preserve"> 5 </w:t>
      </w:r>
      <w:r>
        <w:rPr>
          <w:rFonts w:hint="eastAsia" w:ascii="仿宋" w:hAnsi="仿宋" w:eastAsia="仿宋" w:cs="仿宋"/>
          <w:color w:val="000000"/>
          <w:sz w:val="28"/>
          <w:szCs w:val="28"/>
          <w:highlight w:val="none"/>
          <w:u w:val="single"/>
          <w:lang w:eastAsia="zh-CN"/>
        </w:rPr>
        <w:t>个工作</w:t>
      </w:r>
      <w:r>
        <w:rPr>
          <w:rFonts w:hint="eastAsia" w:ascii="仿宋" w:hAnsi="仿宋" w:eastAsia="仿宋" w:cs="仿宋"/>
          <w:color w:val="000000"/>
          <w:sz w:val="28"/>
          <w:szCs w:val="28"/>
          <w:highlight w:val="none"/>
        </w:rPr>
        <w:t>日内，一次性向甲方支付</w:t>
      </w:r>
      <w:r>
        <w:rPr>
          <w:rFonts w:hint="eastAsia" w:ascii="仿宋" w:hAnsi="仿宋" w:eastAsia="仿宋" w:cs="仿宋"/>
          <w:sz w:val="28"/>
          <w:szCs w:val="28"/>
          <w:highlight w:val="none"/>
        </w:rPr>
        <w:t>本项目合同总价款的5%作为</w:t>
      </w:r>
      <w:r>
        <w:rPr>
          <w:rFonts w:hint="eastAsia" w:ascii="仿宋" w:hAnsi="仿宋" w:eastAsia="仿宋" w:cs="仿宋"/>
          <w:color w:val="000000"/>
          <w:sz w:val="28"/>
          <w:szCs w:val="28"/>
          <w:highlight w:val="none"/>
        </w:rPr>
        <w:t>履约保证金。履约保证金不计利息。</w:t>
      </w:r>
    </w:p>
    <w:p>
      <w:pPr>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5.2</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履约保证金应由乙方名义开立的账户支付到甲方账户，或将银行保函交</w:t>
      </w:r>
      <w:r>
        <w:rPr>
          <w:rFonts w:hint="eastAsia" w:ascii="仿宋" w:hAnsi="仿宋" w:eastAsia="仿宋" w:cs="仿宋"/>
          <w:color w:val="000000"/>
          <w:sz w:val="28"/>
          <w:szCs w:val="28"/>
          <w:highlight w:val="none"/>
          <w:lang w:eastAsia="zh-CN"/>
        </w:rPr>
        <w:t>给</w:t>
      </w:r>
      <w:r>
        <w:rPr>
          <w:rFonts w:hint="eastAsia" w:ascii="仿宋" w:hAnsi="仿宋" w:eastAsia="仿宋" w:cs="仿宋"/>
          <w:color w:val="000000"/>
          <w:sz w:val="28"/>
          <w:szCs w:val="28"/>
          <w:highlight w:val="none"/>
        </w:rPr>
        <w:t>招标人</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否则视为未支付，甲方有权追究乙方逾期支付责任。</w:t>
      </w:r>
    </w:p>
    <w:p>
      <w:pPr>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5.3 乙方支付履约保证金时，应在“付款备注”中写明“（合同编号）XX技术服务合同履约保证金”。乙方不得与其他合同、其他缴费项目一起支付履约保证金，若因混合支付造成无法确认为本合同款项到账的，视为逾期未支付。</w:t>
      </w:r>
    </w:p>
    <w:p>
      <w:pPr>
        <w:spacing w:line="360" w:lineRule="auto"/>
        <w:ind w:firstLine="560" w:firstLineChars="200"/>
        <w:rPr>
          <w:rFonts w:hint="eastAsia"/>
          <w:highlight w:val="none"/>
        </w:rPr>
      </w:pPr>
      <w:r>
        <w:rPr>
          <w:rFonts w:hint="eastAsia" w:ascii="仿宋" w:hAnsi="仿宋" w:eastAsia="仿宋" w:cs="仿宋"/>
          <w:color w:val="000000"/>
          <w:sz w:val="28"/>
          <w:szCs w:val="28"/>
          <w:highlight w:val="none"/>
        </w:rPr>
        <w:t>5.</w:t>
      </w:r>
      <w:r>
        <w:rPr>
          <w:rFonts w:hint="default" w:ascii="仿宋" w:hAnsi="仿宋" w:eastAsia="仿宋" w:cs="仿宋"/>
          <w:color w:val="000000"/>
          <w:sz w:val="28"/>
          <w:szCs w:val="28"/>
          <w:highlight w:val="none"/>
        </w:rPr>
        <w:t>4</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本合同期限届满，若乙方在约定时间内履行完成合同义务且无违约情形，甲方在收到乙方退还履约保证金的申请后，</w:t>
      </w:r>
      <w:r>
        <w:rPr>
          <w:rFonts w:hint="eastAsia" w:ascii="仿宋" w:hAnsi="仿宋" w:eastAsia="仿宋" w:cs="仿宋"/>
          <w:color w:val="000000"/>
          <w:sz w:val="28"/>
          <w:szCs w:val="28"/>
          <w:highlight w:val="none"/>
          <w:lang w:eastAsia="zh-CN"/>
        </w:rPr>
        <w:t>3</w:t>
      </w:r>
      <w:r>
        <w:rPr>
          <w:rFonts w:hint="eastAsia" w:ascii="仿宋" w:hAnsi="仿宋" w:eastAsia="仿宋" w:cs="仿宋"/>
          <w:color w:val="000000"/>
          <w:sz w:val="28"/>
          <w:szCs w:val="28"/>
          <w:highlight w:val="none"/>
          <w:lang w:val="en-US" w:eastAsia="zh-CN"/>
        </w:rPr>
        <w:t>0个工作日</w:t>
      </w:r>
      <w:r>
        <w:rPr>
          <w:rFonts w:hint="eastAsia" w:ascii="仿宋" w:hAnsi="仿宋" w:eastAsia="仿宋" w:cs="仿宋"/>
          <w:color w:val="000000"/>
          <w:sz w:val="28"/>
          <w:szCs w:val="28"/>
          <w:highlight w:val="none"/>
        </w:rPr>
        <w:t>内无息退还。</w:t>
      </w:r>
    </w:p>
    <w:p>
      <w:pPr>
        <w:snapToGrid w:val="0"/>
        <w:spacing w:line="520" w:lineRule="exact"/>
        <w:ind w:firstLine="562" w:firstLineChars="200"/>
        <w:rPr>
          <w:rFonts w:ascii="黑体" w:hAnsi="黑体" w:eastAsia="黑体" w:cs="黑体"/>
          <w:sz w:val="28"/>
          <w:szCs w:val="28"/>
          <w:highlight w:val="none"/>
        </w:rPr>
      </w:pPr>
      <w:r>
        <w:rPr>
          <w:rFonts w:hint="eastAsia" w:ascii="黑体" w:hAnsi="黑体" w:eastAsia="黑体" w:cs="黑体"/>
          <w:b/>
          <w:sz w:val="28"/>
          <w:szCs w:val="28"/>
          <w:highlight w:val="none"/>
        </w:rPr>
        <w:t>第六条  咨询费的计取与支付</w:t>
      </w:r>
    </w:p>
    <w:p>
      <w:pPr>
        <w:spacing w:line="52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6.1 咨询费金额</w:t>
      </w:r>
    </w:p>
    <w:p>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本合同咨询费总金额（不含增值税）为人民币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元整(大写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元）；含增值税总金额为人民币</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元整(大写</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元），增值税税率：</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本合同咨询费为包干价，包括乙方履行本合同义务的全部费用和支出，且为固定不变价格。</w:t>
      </w:r>
    </w:p>
    <w:p>
      <w:pPr>
        <w:spacing w:line="520" w:lineRule="exact"/>
        <w:ind w:firstLine="560" w:firstLineChars="200"/>
        <w:rPr>
          <w:rFonts w:hint="default" w:eastAsia="仿宋"/>
          <w:color w:val="auto"/>
          <w:highlight w:val="none"/>
          <w:lang w:val="en-US" w:eastAsia="zh-CN"/>
        </w:rPr>
      </w:pPr>
      <w:r>
        <w:rPr>
          <w:rFonts w:hint="eastAsia" w:ascii="仿宋" w:hAnsi="仿宋" w:eastAsia="仿宋" w:cs="仿宋"/>
          <w:color w:val="auto"/>
          <w:sz w:val="28"/>
          <w:szCs w:val="28"/>
          <w:highlight w:val="none"/>
          <w:lang w:val="en-US" w:eastAsia="zh-CN"/>
        </w:rPr>
        <w:t>合同履行期间，若甲方需增加研究区域，则增加的区域中，3km²（含）以内部分，由乙方免费提供服务；3km²以外部分，按上述合同咨询费总金额除以37km²计算单价后，按面积计费。</w:t>
      </w:r>
    </w:p>
    <w:p>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6.2 咨询费由甲方 分期 支付乙方。</w:t>
      </w:r>
    </w:p>
    <w:p>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具体支付方式和时间如下：</w:t>
      </w:r>
    </w:p>
    <w:p>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6.2.1 合同签订后，且甲方收到乙方开具</w:t>
      </w:r>
      <w:r>
        <w:rPr>
          <w:rFonts w:hint="eastAsia" w:ascii="仿宋" w:hAnsi="仿宋" w:eastAsia="仿宋" w:cs="仿宋"/>
          <w:color w:val="auto"/>
          <w:sz w:val="28"/>
          <w:szCs w:val="28"/>
          <w:highlight w:val="none"/>
          <w:lang w:eastAsia="zh-CN"/>
        </w:rPr>
        <w:t>的</w:t>
      </w:r>
      <w:r>
        <w:rPr>
          <w:rFonts w:hint="eastAsia" w:ascii="仿宋" w:hAnsi="仿宋" w:eastAsia="仿宋" w:cs="仿宋"/>
          <w:color w:val="auto"/>
          <w:sz w:val="28"/>
          <w:szCs w:val="28"/>
          <w:highlight w:val="none"/>
        </w:rPr>
        <w:t>增值税</w:t>
      </w:r>
      <w:r>
        <w:rPr>
          <w:rFonts w:hint="eastAsia" w:ascii="仿宋" w:hAnsi="仿宋" w:eastAsia="仿宋" w:cs="仿宋"/>
          <w:color w:val="auto"/>
          <w:sz w:val="28"/>
          <w:szCs w:val="28"/>
          <w:highlight w:val="none"/>
          <w:lang w:eastAsia="zh-CN"/>
        </w:rPr>
        <w:t>专用</w:t>
      </w:r>
      <w:r>
        <w:rPr>
          <w:rFonts w:hint="eastAsia" w:ascii="仿宋" w:hAnsi="仿宋" w:eastAsia="仿宋" w:cs="仿宋"/>
          <w:color w:val="auto"/>
          <w:sz w:val="28"/>
          <w:szCs w:val="28"/>
          <w:highlight w:val="none"/>
        </w:rPr>
        <w:t>发票后20个工作日内，支付</w:t>
      </w:r>
      <w:r>
        <w:rPr>
          <w:rFonts w:hint="eastAsia" w:ascii="仿宋" w:hAnsi="仿宋" w:eastAsia="仿宋" w:cs="仿宋"/>
          <w:color w:val="auto"/>
          <w:sz w:val="28"/>
          <w:szCs w:val="28"/>
          <w:highlight w:val="none"/>
          <w:lang w:val="en-US" w:eastAsia="zh-CN"/>
        </w:rPr>
        <w:t>合同含增值税总金额</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0%</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w:t>
      </w:r>
    </w:p>
    <w:p>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6.2.2 乙方完成</w:t>
      </w:r>
      <w:r>
        <w:rPr>
          <w:rFonts w:hint="eastAsia" w:ascii="仿宋" w:hAnsi="仿宋" w:eastAsia="仿宋" w:cs="仿宋"/>
          <w:color w:val="auto"/>
          <w:sz w:val="28"/>
          <w:szCs w:val="28"/>
          <w:highlight w:val="none"/>
          <w:lang w:eastAsia="zh-CN"/>
        </w:rPr>
        <w:t>防洪专项研究</w:t>
      </w:r>
      <w:r>
        <w:rPr>
          <w:rFonts w:hint="eastAsia" w:ascii="仿宋" w:hAnsi="仿宋" w:eastAsia="仿宋" w:cs="仿宋"/>
          <w:color w:val="auto"/>
          <w:sz w:val="28"/>
          <w:szCs w:val="28"/>
          <w:highlight w:val="none"/>
        </w:rPr>
        <w:t>报告，经甲方审核</w:t>
      </w:r>
      <w:r>
        <w:rPr>
          <w:rFonts w:hint="eastAsia" w:ascii="仿宋" w:hAnsi="仿宋" w:eastAsia="仿宋" w:cs="仿宋"/>
          <w:color w:val="auto"/>
          <w:sz w:val="28"/>
          <w:szCs w:val="28"/>
          <w:highlight w:val="none"/>
          <w:lang w:eastAsia="zh-CN"/>
        </w:rPr>
        <w:t>和行业内专家评审</w:t>
      </w:r>
      <w:r>
        <w:rPr>
          <w:rFonts w:hint="eastAsia" w:ascii="仿宋" w:hAnsi="仿宋" w:eastAsia="仿宋" w:cs="仿宋"/>
          <w:color w:val="auto"/>
          <w:sz w:val="28"/>
          <w:szCs w:val="28"/>
          <w:highlight w:val="none"/>
          <w:lang w:val="en-US" w:eastAsia="zh-CN"/>
        </w:rPr>
        <w:t>通过</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并获得专家评审意见书，</w:t>
      </w:r>
      <w:r>
        <w:rPr>
          <w:rFonts w:hint="eastAsia" w:ascii="仿宋" w:hAnsi="仿宋" w:eastAsia="仿宋" w:cs="仿宋"/>
          <w:color w:val="auto"/>
          <w:sz w:val="28"/>
          <w:szCs w:val="28"/>
          <w:highlight w:val="none"/>
        </w:rPr>
        <w:t>甲方收到乙方开具</w:t>
      </w:r>
      <w:r>
        <w:rPr>
          <w:rFonts w:hint="eastAsia" w:ascii="仿宋" w:hAnsi="仿宋" w:eastAsia="仿宋" w:cs="仿宋"/>
          <w:color w:val="auto"/>
          <w:sz w:val="28"/>
          <w:szCs w:val="28"/>
          <w:highlight w:val="none"/>
          <w:lang w:eastAsia="zh-CN"/>
        </w:rPr>
        <w:t>的</w:t>
      </w:r>
      <w:r>
        <w:rPr>
          <w:rFonts w:hint="eastAsia" w:ascii="仿宋" w:hAnsi="仿宋" w:eastAsia="仿宋" w:cs="仿宋"/>
          <w:color w:val="auto"/>
          <w:sz w:val="28"/>
          <w:szCs w:val="28"/>
          <w:highlight w:val="none"/>
        </w:rPr>
        <w:t>增值税</w:t>
      </w:r>
      <w:r>
        <w:rPr>
          <w:rFonts w:hint="eastAsia" w:ascii="仿宋" w:hAnsi="仿宋" w:eastAsia="仿宋" w:cs="仿宋"/>
          <w:color w:val="auto"/>
          <w:sz w:val="28"/>
          <w:szCs w:val="28"/>
          <w:highlight w:val="none"/>
          <w:lang w:eastAsia="zh-CN"/>
        </w:rPr>
        <w:t>专用</w:t>
      </w:r>
      <w:r>
        <w:rPr>
          <w:rFonts w:hint="eastAsia" w:ascii="仿宋" w:hAnsi="仿宋" w:eastAsia="仿宋" w:cs="仿宋"/>
          <w:color w:val="auto"/>
          <w:sz w:val="28"/>
          <w:szCs w:val="28"/>
          <w:highlight w:val="none"/>
        </w:rPr>
        <w:t>发票后20个工作日内，支付</w:t>
      </w:r>
      <w:r>
        <w:rPr>
          <w:rFonts w:hint="eastAsia" w:ascii="仿宋" w:hAnsi="仿宋" w:eastAsia="仿宋" w:cs="仿宋"/>
          <w:color w:val="auto"/>
          <w:sz w:val="28"/>
          <w:szCs w:val="28"/>
          <w:highlight w:val="none"/>
          <w:lang w:val="en-US" w:eastAsia="zh-CN"/>
        </w:rPr>
        <w:t>合同含增值税总金额的60% ；</w:t>
      </w:r>
    </w:p>
    <w:p>
      <w:pPr>
        <w:snapToGrid/>
        <w:spacing w:line="52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6.2.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 xml:space="preserve"> 重庆新机场总体规划获得主管部门批复</w:t>
      </w:r>
      <w:r>
        <w:rPr>
          <w:rFonts w:hint="eastAsia" w:ascii="仿宋" w:hAnsi="仿宋" w:eastAsia="仿宋" w:cs="仿宋"/>
          <w:color w:val="auto"/>
          <w:sz w:val="28"/>
          <w:szCs w:val="28"/>
          <w:highlight w:val="none"/>
          <w:lang w:val="en-US" w:eastAsia="zh-CN"/>
        </w:rPr>
        <w:t>通过</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且重庆新机场洪水影响评价获得主管部门批复通过，</w:t>
      </w:r>
      <w:r>
        <w:rPr>
          <w:rFonts w:hint="eastAsia" w:ascii="仿宋" w:hAnsi="仿宋" w:eastAsia="仿宋" w:cs="仿宋"/>
          <w:color w:val="auto"/>
          <w:sz w:val="28"/>
          <w:szCs w:val="28"/>
          <w:highlight w:val="none"/>
        </w:rPr>
        <w:t>甲方收到乙方开具</w:t>
      </w:r>
      <w:r>
        <w:rPr>
          <w:rFonts w:hint="eastAsia" w:ascii="仿宋" w:hAnsi="仿宋" w:eastAsia="仿宋" w:cs="仿宋"/>
          <w:color w:val="auto"/>
          <w:sz w:val="28"/>
          <w:szCs w:val="28"/>
          <w:highlight w:val="none"/>
          <w:lang w:eastAsia="zh-CN"/>
        </w:rPr>
        <w:t>的</w:t>
      </w:r>
      <w:r>
        <w:rPr>
          <w:rFonts w:hint="eastAsia" w:ascii="仿宋" w:hAnsi="仿宋" w:eastAsia="仿宋" w:cs="仿宋"/>
          <w:color w:val="auto"/>
          <w:sz w:val="28"/>
          <w:szCs w:val="28"/>
          <w:highlight w:val="none"/>
        </w:rPr>
        <w:t>增值税</w:t>
      </w:r>
      <w:r>
        <w:rPr>
          <w:rFonts w:hint="eastAsia" w:ascii="仿宋" w:hAnsi="仿宋" w:eastAsia="仿宋" w:cs="仿宋"/>
          <w:color w:val="auto"/>
          <w:sz w:val="28"/>
          <w:szCs w:val="28"/>
          <w:highlight w:val="none"/>
          <w:lang w:eastAsia="zh-CN"/>
        </w:rPr>
        <w:t>专用</w:t>
      </w:r>
      <w:r>
        <w:rPr>
          <w:rFonts w:hint="eastAsia" w:ascii="仿宋" w:hAnsi="仿宋" w:eastAsia="仿宋" w:cs="仿宋"/>
          <w:color w:val="auto"/>
          <w:sz w:val="28"/>
          <w:szCs w:val="28"/>
          <w:highlight w:val="none"/>
        </w:rPr>
        <w:t>发票后20个工作日内，支付</w:t>
      </w:r>
      <w:r>
        <w:rPr>
          <w:rFonts w:hint="eastAsia" w:ascii="仿宋" w:hAnsi="仿宋" w:eastAsia="仿宋" w:cs="仿宋"/>
          <w:color w:val="auto"/>
          <w:sz w:val="28"/>
          <w:szCs w:val="28"/>
          <w:highlight w:val="none"/>
          <w:lang w:val="en-US" w:eastAsia="zh-CN"/>
        </w:rPr>
        <w:t>合同含增值税总金额的</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w:t>
      </w:r>
    </w:p>
    <w:p>
      <w:pPr>
        <w:snapToGrid w:val="0"/>
        <w:spacing w:line="520" w:lineRule="exact"/>
        <w:ind w:firstLine="560" w:firstLineChars="200"/>
        <w:rPr>
          <w:rFonts w:hint="eastAsia"/>
          <w:highlight w:val="none"/>
        </w:rPr>
      </w:pPr>
      <w:r>
        <w:rPr>
          <w:rFonts w:hint="eastAsia" w:ascii="仿宋" w:hAnsi="仿宋" w:eastAsia="仿宋" w:cs="仿宋"/>
          <w:sz w:val="28"/>
          <w:szCs w:val="28"/>
          <w:highlight w:val="none"/>
        </w:rPr>
        <w:t>6.3 乙方须向甲方提供正规增值税</w:t>
      </w:r>
      <w:r>
        <w:rPr>
          <w:rFonts w:hint="eastAsia" w:ascii="仿宋" w:hAnsi="仿宋" w:eastAsia="仿宋" w:cs="仿宋"/>
          <w:sz w:val="28"/>
          <w:szCs w:val="28"/>
          <w:highlight w:val="none"/>
          <w:lang w:eastAsia="zh-CN"/>
        </w:rPr>
        <w:t>专用</w:t>
      </w:r>
      <w:r>
        <w:rPr>
          <w:rFonts w:hint="eastAsia" w:ascii="仿宋" w:hAnsi="仿宋" w:eastAsia="仿宋" w:cs="仿宋"/>
          <w:sz w:val="28"/>
          <w:szCs w:val="28"/>
          <w:highlight w:val="none"/>
        </w:rPr>
        <w:t>发票</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甲方支付金额=不含增值税金额+增值税税额。</w:t>
      </w:r>
    </w:p>
    <w:p>
      <w:pPr>
        <w:snapToGrid w:val="0"/>
        <w:spacing w:line="52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6.4 甲方账户信息：</w:t>
      </w:r>
    </w:p>
    <w:p>
      <w:pPr>
        <w:snapToGrid w:val="0"/>
        <w:spacing w:line="52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账户名称：</w:t>
      </w:r>
      <w:r>
        <w:rPr>
          <w:rFonts w:hint="eastAsia" w:ascii="仿宋" w:hAnsi="仿宋" w:eastAsia="仿宋" w:cs="仿宋"/>
          <w:sz w:val="28"/>
          <w:szCs w:val="28"/>
          <w:highlight w:val="none"/>
          <w:u w:val="single"/>
        </w:rPr>
        <w:t xml:space="preserve">               </w:t>
      </w:r>
    </w:p>
    <w:p>
      <w:pPr>
        <w:snapToGrid w:val="0"/>
        <w:spacing w:line="52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w:t>
      </w:r>
      <w:r>
        <w:rPr>
          <w:rFonts w:hint="eastAsia" w:ascii="仿宋" w:hAnsi="仿宋" w:eastAsia="仿宋" w:cs="仿宋"/>
          <w:sz w:val="28"/>
          <w:szCs w:val="28"/>
          <w:highlight w:val="none"/>
          <w:u w:val="single"/>
        </w:rPr>
        <w:t xml:space="preserve">               </w:t>
      </w:r>
    </w:p>
    <w:p>
      <w:pPr>
        <w:snapToGrid w:val="0"/>
        <w:spacing w:line="52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银行账号：</w:t>
      </w:r>
      <w:r>
        <w:rPr>
          <w:rFonts w:hint="eastAsia" w:ascii="仿宋" w:hAnsi="仿宋" w:eastAsia="仿宋" w:cs="仿宋"/>
          <w:sz w:val="28"/>
          <w:szCs w:val="28"/>
          <w:highlight w:val="none"/>
          <w:u w:val="single"/>
        </w:rPr>
        <w:t xml:space="preserve">               </w:t>
      </w:r>
    </w:p>
    <w:p>
      <w:pPr>
        <w:snapToGrid w:val="0"/>
        <w:spacing w:line="52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6.5 乙方账户信息：</w:t>
      </w:r>
    </w:p>
    <w:p>
      <w:pPr>
        <w:snapToGrid w:val="0"/>
        <w:spacing w:line="52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账户名称：</w:t>
      </w:r>
      <w:r>
        <w:rPr>
          <w:rFonts w:hint="eastAsia" w:ascii="仿宋" w:hAnsi="仿宋" w:eastAsia="仿宋" w:cs="仿宋"/>
          <w:sz w:val="28"/>
          <w:szCs w:val="28"/>
          <w:highlight w:val="none"/>
          <w:u w:val="single"/>
        </w:rPr>
        <w:t xml:space="preserve">               </w:t>
      </w:r>
    </w:p>
    <w:p>
      <w:pPr>
        <w:snapToGrid w:val="0"/>
        <w:spacing w:line="52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w:t>
      </w:r>
      <w:r>
        <w:rPr>
          <w:rFonts w:hint="eastAsia" w:ascii="仿宋" w:hAnsi="仿宋" w:eastAsia="仿宋" w:cs="仿宋"/>
          <w:sz w:val="28"/>
          <w:szCs w:val="28"/>
          <w:highlight w:val="none"/>
          <w:u w:val="single"/>
        </w:rPr>
        <w:t xml:space="preserve">               </w:t>
      </w:r>
    </w:p>
    <w:p>
      <w:pPr>
        <w:snapToGrid w:val="0"/>
        <w:spacing w:line="520" w:lineRule="exact"/>
        <w:ind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银行账号：</w:t>
      </w:r>
      <w:r>
        <w:rPr>
          <w:rFonts w:hint="eastAsia" w:ascii="仿宋" w:hAnsi="仿宋" w:eastAsia="仿宋" w:cs="仿宋"/>
          <w:sz w:val="28"/>
          <w:szCs w:val="28"/>
          <w:highlight w:val="none"/>
          <w:u w:val="single"/>
        </w:rPr>
        <w:t xml:space="preserve">               </w:t>
      </w:r>
    </w:p>
    <w:p>
      <w:pPr>
        <w:snapToGrid w:val="0"/>
        <w:spacing w:line="520" w:lineRule="exact"/>
        <w:ind w:firstLine="562" w:firstLineChars="200"/>
        <w:rPr>
          <w:rFonts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第七条  甲方权利及义务</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7.1 甲方权利</w:t>
      </w:r>
    </w:p>
    <w:p>
      <w:pPr>
        <w:spacing w:line="520" w:lineRule="exact"/>
        <w:ind w:firstLine="560" w:firstLineChars="20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7.1.1 甲方</w:t>
      </w:r>
      <w:r>
        <w:rPr>
          <w:rFonts w:hint="eastAsia" w:ascii="仿宋" w:hAnsi="仿宋" w:eastAsia="仿宋" w:cs="仿宋"/>
          <w:color w:val="auto"/>
          <w:sz w:val="28"/>
          <w:szCs w:val="28"/>
          <w:highlight w:val="none"/>
          <w:lang w:val="zh-CN"/>
        </w:rPr>
        <w:t>有权向乙方询问工作进展情况及相关的内容，</w:t>
      </w:r>
      <w:r>
        <w:rPr>
          <w:rFonts w:hint="eastAsia" w:ascii="仿宋" w:hAnsi="仿宋" w:eastAsia="仿宋" w:cs="仿宋"/>
          <w:color w:val="auto"/>
          <w:sz w:val="28"/>
          <w:szCs w:val="28"/>
          <w:highlight w:val="none"/>
        </w:rPr>
        <w:t>并</w:t>
      </w:r>
      <w:r>
        <w:rPr>
          <w:rFonts w:hint="eastAsia" w:ascii="仿宋" w:hAnsi="仿宋" w:eastAsia="仿宋" w:cs="仿宋"/>
          <w:color w:val="auto"/>
          <w:sz w:val="28"/>
          <w:szCs w:val="28"/>
          <w:highlight w:val="none"/>
          <w:lang w:val="zh-CN"/>
        </w:rPr>
        <w:t>对具体问题</w:t>
      </w:r>
      <w:r>
        <w:rPr>
          <w:rFonts w:hint="eastAsia" w:ascii="仿宋" w:hAnsi="仿宋" w:eastAsia="仿宋" w:cs="仿宋"/>
          <w:color w:val="auto"/>
          <w:sz w:val="28"/>
          <w:szCs w:val="28"/>
          <w:highlight w:val="none"/>
        </w:rPr>
        <w:t>提出</w:t>
      </w:r>
      <w:r>
        <w:rPr>
          <w:rFonts w:hint="eastAsia" w:ascii="仿宋" w:hAnsi="仿宋" w:eastAsia="仿宋" w:cs="仿宋"/>
          <w:color w:val="auto"/>
          <w:sz w:val="28"/>
          <w:szCs w:val="28"/>
          <w:highlight w:val="none"/>
          <w:lang w:val="zh-CN"/>
        </w:rPr>
        <w:t>意见和建议，</w:t>
      </w:r>
      <w:r>
        <w:rPr>
          <w:rFonts w:hint="eastAsia" w:ascii="仿宋" w:hAnsi="仿宋" w:eastAsia="仿宋" w:cs="仿宋"/>
          <w:color w:val="auto"/>
          <w:sz w:val="28"/>
          <w:szCs w:val="28"/>
          <w:highlight w:val="none"/>
        </w:rPr>
        <w:t>乙方应如实回复或披露，并接受甲方的合理意见或建议</w:t>
      </w:r>
      <w:r>
        <w:rPr>
          <w:rFonts w:hint="eastAsia" w:ascii="仿宋" w:hAnsi="仿宋" w:eastAsia="仿宋" w:cs="仿宋"/>
          <w:color w:val="auto"/>
          <w:sz w:val="28"/>
          <w:szCs w:val="28"/>
          <w:highlight w:val="none"/>
          <w:lang w:val="zh-CN"/>
        </w:rPr>
        <w:t>。</w:t>
      </w:r>
    </w:p>
    <w:p>
      <w:pPr>
        <w:spacing w:line="520" w:lineRule="exact"/>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 xml:space="preserve">7.1.2 </w:t>
      </w:r>
      <w:r>
        <w:rPr>
          <w:rFonts w:hint="eastAsia" w:ascii="仿宋" w:hAnsi="仿宋" w:eastAsia="仿宋" w:cs="仿宋"/>
          <w:color w:val="auto"/>
          <w:sz w:val="28"/>
          <w:szCs w:val="28"/>
          <w:highlight w:val="none"/>
          <w:lang w:val="zh-CN"/>
        </w:rPr>
        <w:t>乙方人员不按合同履行其职责</w:t>
      </w:r>
      <w:r>
        <w:rPr>
          <w:rFonts w:hint="eastAsia" w:ascii="仿宋" w:hAnsi="仿宋" w:eastAsia="仿宋" w:cs="仿宋"/>
          <w:color w:val="auto"/>
          <w:sz w:val="28"/>
          <w:szCs w:val="28"/>
          <w:highlight w:val="none"/>
        </w:rPr>
        <w:t>或不符合甲方及项目要求的</w:t>
      </w:r>
      <w:r>
        <w:rPr>
          <w:rFonts w:hint="eastAsia" w:ascii="仿宋" w:hAnsi="仿宋" w:eastAsia="仿宋" w:cs="仿宋"/>
          <w:color w:val="auto"/>
          <w:sz w:val="28"/>
          <w:szCs w:val="28"/>
          <w:highlight w:val="none"/>
          <w:lang w:val="zh-CN"/>
        </w:rPr>
        <w:t>，甲方有权要求更换人员。</w:t>
      </w:r>
    </w:p>
    <w:p>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7.2 甲方义务</w:t>
      </w:r>
    </w:p>
    <w:p>
      <w:pPr>
        <w:snapToGrid w:val="0"/>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7.2.1 甲方应配合乙方及时提供项目基础资料。</w:t>
      </w:r>
    </w:p>
    <w:p>
      <w:pPr>
        <w:snapToGrid w:val="0"/>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7.2.2 甲方应就乙方的工作成果及时审查、</w:t>
      </w:r>
      <w:r>
        <w:rPr>
          <w:rFonts w:hint="eastAsia" w:ascii="仿宋" w:hAnsi="仿宋" w:eastAsia="仿宋" w:cs="仿宋"/>
          <w:color w:val="auto"/>
          <w:sz w:val="28"/>
          <w:szCs w:val="28"/>
          <w:highlight w:val="none"/>
          <w:lang w:eastAsia="zh-CN"/>
        </w:rPr>
        <w:t>组织行业内专家评审、</w:t>
      </w:r>
      <w:r>
        <w:rPr>
          <w:rFonts w:hint="eastAsia" w:ascii="仿宋" w:hAnsi="仿宋" w:eastAsia="仿宋" w:cs="仿宋"/>
          <w:color w:val="auto"/>
          <w:sz w:val="28"/>
          <w:szCs w:val="28"/>
          <w:highlight w:val="none"/>
        </w:rPr>
        <w:t>验收。</w:t>
      </w:r>
      <w:bookmarkStart w:id="146" w:name="OLE_LINK38"/>
      <w:bookmarkStart w:id="147" w:name="OLE_LINK39"/>
    </w:p>
    <w:p>
      <w:pPr>
        <w:snapToGrid w:val="0"/>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7.2.3 甲方应当按照约定支付咨询服务费。</w:t>
      </w:r>
    </w:p>
    <w:bookmarkEnd w:id="146"/>
    <w:bookmarkEnd w:id="147"/>
    <w:p>
      <w:pPr>
        <w:snapToGrid w:val="0"/>
        <w:spacing w:line="520" w:lineRule="exact"/>
        <w:ind w:firstLine="562" w:firstLineChars="200"/>
        <w:rPr>
          <w:rFonts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第八条  乙方权利及义务</w:t>
      </w:r>
    </w:p>
    <w:p>
      <w:pPr>
        <w:autoSpaceDE w:val="0"/>
        <w:autoSpaceDN w:val="0"/>
        <w:spacing w:line="520" w:lineRule="exact"/>
        <w:ind w:firstLine="672" w:firstLineChars="24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8.1 乙方</w:t>
      </w:r>
      <w:r>
        <w:rPr>
          <w:rFonts w:hint="eastAsia" w:ascii="仿宋" w:hAnsi="仿宋" w:eastAsia="仿宋" w:cs="仿宋"/>
          <w:color w:val="auto"/>
          <w:sz w:val="28"/>
          <w:szCs w:val="28"/>
          <w:highlight w:val="none"/>
          <w:lang w:val="zh-CN"/>
        </w:rPr>
        <w:t>权利</w:t>
      </w:r>
    </w:p>
    <w:p>
      <w:pPr>
        <w:autoSpaceDE w:val="0"/>
        <w:autoSpaceDN w:val="0"/>
        <w:spacing w:line="520" w:lineRule="exact"/>
        <w:ind w:firstLine="672" w:firstLineChars="24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8.1.1 乙方有权按照约定收取咨询服务费。</w:t>
      </w:r>
    </w:p>
    <w:p>
      <w:pPr>
        <w:autoSpaceDE w:val="0"/>
        <w:autoSpaceDN w:val="0"/>
        <w:spacing w:line="520" w:lineRule="exact"/>
        <w:ind w:firstLine="672" w:firstLineChars="24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 xml:space="preserve">8.1.2 </w:t>
      </w:r>
      <w:r>
        <w:rPr>
          <w:rFonts w:hint="eastAsia" w:ascii="仿宋" w:hAnsi="仿宋" w:eastAsia="仿宋" w:cs="仿宋"/>
          <w:color w:val="auto"/>
          <w:sz w:val="28"/>
          <w:szCs w:val="28"/>
          <w:highlight w:val="none"/>
          <w:lang w:val="zh-CN"/>
        </w:rPr>
        <w:t>在本项目服务过程中，如甲方提供的资料不明确时，</w:t>
      </w:r>
      <w:r>
        <w:rPr>
          <w:rFonts w:hint="eastAsia" w:ascii="仿宋" w:hAnsi="仿宋" w:eastAsia="仿宋" w:cs="仿宋"/>
          <w:color w:val="auto"/>
          <w:sz w:val="28"/>
          <w:szCs w:val="28"/>
          <w:highlight w:val="none"/>
        </w:rPr>
        <w:t>乙方有权</w:t>
      </w:r>
      <w:r>
        <w:rPr>
          <w:rFonts w:hint="eastAsia" w:ascii="仿宋" w:hAnsi="仿宋" w:eastAsia="仿宋" w:cs="仿宋"/>
          <w:color w:val="auto"/>
          <w:sz w:val="28"/>
          <w:szCs w:val="28"/>
          <w:highlight w:val="none"/>
          <w:lang w:val="zh-CN"/>
        </w:rPr>
        <w:t>向甲方提出书面报告</w:t>
      </w:r>
      <w:r>
        <w:rPr>
          <w:rFonts w:hint="eastAsia" w:ascii="仿宋" w:hAnsi="仿宋" w:eastAsia="仿宋" w:cs="仿宋"/>
          <w:color w:val="auto"/>
          <w:sz w:val="28"/>
          <w:szCs w:val="28"/>
          <w:highlight w:val="none"/>
        </w:rPr>
        <w:t>请求予以更正或补充相关资料。</w:t>
      </w:r>
    </w:p>
    <w:p>
      <w:pPr>
        <w:adjustRightInd w:val="0"/>
        <w:snapToGrid w:val="0"/>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8.2 乙方义务</w:t>
      </w:r>
    </w:p>
    <w:p>
      <w:pPr>
        <w:adjustRightInd w:val="0"/>
        <w:snapToGrid w:val="0"/>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8.2.1</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乙方应按现行法律法规、技术标准规范、本合同约定等要求开展咨询服务，保证工作进度和质量，并对成果的质量、</w:t>
      </w:r>
      <w:r>
        <w:rPr>
          <w:rFonts w:hint="eastAsia" w:ascii="仿宋" w:hAnsi="仿宋" w:eastAsia="仿宋" w:cs="仿宋"/>
          <w:color w:val="auto"/>
          <w:sz w:val="28"/>
          <w:szCs w:val="28"/>
          <w:highlight w:val="none"/>
          <w:lang w:eastAsia="zh-CN"/>
        </w:rPr>
        <w:t>真实性、</w:t>
      </w:r>
      <w:r>
        <w:rPr>
          <w:rFonts w:hint="eastAsia" w:ascii="仿宋" w:hAnsi="仿宋" w:eastAsia="仿宋" w:cs="仿宋"/>
          <w:color w:val="auto"/>
          <w:sz w:val="28"/>
          <w:szCs w:val="28"/>
          <w:highlight w:val="none"/>
        </w:rPr>
        <w:t>准确性、完整性、时限性负责。如因不符合上述要求而给甲方或其他第三人造成损失的，乙方应承担相关赔偿责任。</w:t>
      </w:r>
    </w:p>
    <w:p>
      <w:pPr>
        <w:adjustRightInd w:val="0"/>
        <w:snapToGrid w:val="0"/>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8.2.2</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乙方应按照约定及时向甲方交付相关过程文件及最终咨询成果。</w:t>
      </w:r>
    </w:p>
    <w:p>
      <w:pPr>
        <w:adjustRightInd w:val="0"/>
        <w:snapToGrid w:val="0"/>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8.2.3</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乙方应当保证其提交的成果符合国家及地方现有法律、法规、规章，政策及行业规范之要求、符合本合同目的。</w:t>
      </w:r>
    </w:p>
    <w:p>
      <w:pPr>
        <w:adjustRightInd w:val="0"/>
        <w:snapToGrid w:val="0"/>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8.2.4</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乙方应按甲方要求，对于其咨询成果的相关内容予以书面或口头回复。 </w:t>
      </w:r>
    </w:p>
    <w:p>
      <w:pPr>
        <w:adjustRightInd w:val="0"/>
        <w:snapToGrid w:val="0"/>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8.2.5</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乙方应接受甲方及其相关工作人员对乙方工作的监督，并按照甲方及其有关人员的意见或建议及时予以整改。</w:t>
      </w:r>
    </w:p>
    <w:p>
      <w:pPr>
        <w:adjustRightInd w:val="0"/>
        <w:snapToGrid w:val="0"/>
        <w:spacing w:line="520" w:lineRule="exact"/>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8.2.6</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乙方不得将本合同项目全部或部分转包给第三方。</w:t>
      </w:r>
    </w:p>
    <w:p>
      <w:pPr>
        <w:adjustRightInd w:val="0"/>
        <w:snapToGrid w:val="0"/>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8.2.7</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乙方承诺按甲方要求完成本项目，出于自身财务、技术、人力等原因导致项目失败的，应承担全部责任。</w:t>
      </w:r>
    </w:p>
    <w:p>
      <w:pPr>
        <w:snapToGrid w:val="0"/>
        <w:spacing w:line="520" w:lineRule="exact"/>
        <w:ind w:firstLine="562" w:firstLineChars="200"/>
        <w:rPr>
          <w:rFonts w:hint="eastAsia"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 xml:space="preserve">第九条 </w:t>
      </w:r>
      <w:r>
        <w:rPr>
          <w:rFonts w:hint="eastAsia" w:ascii="黑体" w:hAnsi="黑体" w:eastAsia="黑体" w:cs="黑体"/>
          <w:color w:val="auto"/>
          <w:sz w:val="28"/>
          <w:szCs w:val="28"/>
          <w:highlight w:val="none"/>
        </w:rPr>
        <w:t xml:space="preserve"> </w:t>
      </w:r>
      <w:r>
        <w:rPr>
          <w:rFonts w:hint="eastAsia" w:ascii="黑体" w:hAnsi="黑体" w:eastAsia="黑体" w:cs="黑体"/>
          <w:b/>
          <w:bCs/>
          <w:color w:val="auto"/>
          <w:sz w:val="28"/>
          <w:szCs w:val="28"/>
          <w:highlight w:val="none"/>
        </w:rPr>
        <w:t xml:space="preserve"> 通知条款</w:t>
      </w:r>
    </w:p>
    <w:p>
      <w:pPr>
        <w:snapToGrid w:val="0"/>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下的通知或法律文书等应以书面方式，通过现场交付、邮寄或电子邮箱形式发至如下地址（包括电子邮箱地址，下同）。如果一方的地址发生变更，变更后的地址应当及时书面通知另一方，未通知的则原地址视为送达地址。</w:t>
      </w:r>
    </w:p>
    <w:p>
      <w:pPr>
        <w:snapToGrid w:val="0"/>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甲方通讯方式：</w:t>
      </w:r>
    </w:p>
    <w:p>
      <w:pPr>
        <w:snapToGrid w:val="0"/>
        <w:spacing w:line="520" w:lineRule="exact"/>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u w:val="single"/>
        </w:rPr>
        <w:t xml:space="preserve">               </w:t>
      </w:r>
    </w:p>
    <w:p>
      <w:pPr>
        <w:snapToGrid w:val="0"/>
        <w:spacing w:line="520" w:lineRule="exact"/>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邮编：</w:t>
      </w:r>
      <w:r>
        <w:rPr>
          <w:rFonts w:hint="eastAsia" w:ascii="仿宋" w:hAnsi="仿宋" w:eastAsia="仿宋" w:cs="仿宋"/>
          <w:color w:val="auto"/>
          <w:sz w:val="28"/>
          <w:szCs w:val="28"/>
          <w:highlight w:val="none"/>
          <w:u w:val="single"/>
        </w:rPr>
        <w:t xml:space="preserve">               </w:t>
      </w:r>
    </w:p>
    <w:p>
      <w:pPr>
        <w:snapToGrid w:val="0"/>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pPr>
        <w:snapToGrid w:val="0"/>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pPr>
        <w:snapToGrid w:val="0"/>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电子邮箱：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pPr>
        <w:snapToGrid w:val="0"/>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乙方通讯方式：            </w:t>
      </w:r>
    </w:p>
    <w:p>
      <w:pPr>
        <w:snapToGrid w:val="0"/>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pPr>
        <w:snapToGrid w:val="0"/>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pPr>
        <w:snapToGrid w:val="0"/>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pPr>
        <w:snapToGrid w:val="0"/>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电子邮箱：</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pPr>
        <w:snapToGrid w:val="0"/>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若由人工送达，送达时间应为该通知交给另一方的日期；若由邮寄送达，送达时间为快递签收或被退回日期；若由电子邮箱送达，送达时间为该通知进入被通知方电子邮箱系统的时间。</w:t>
      </w:r>
    </w:p>
    <w:p>
      <w:pPr>
        <w:snapToGrid w:val="0"/>
        <w:spacing w:line="520" w:lineRule="exact"/>
        <w:ind w:firstLine="562" w:firstLineChars="200"/>
        <w:rPr>
          <w:rFonts w:hint="eastAsia" w:ascii="黑体" w:hAnsi="黑体" w:eastAsia="黑体" w:cs="黑体"/>
          <w:b/>
          <w:color w:val="auto"/>
          <w:sz w:val="28"/>
          <w:szCs w:val="28"/>
          <w:highlight w:val="none"/>
        </w:rPr>
      </w:pPr>
      <w:r>
        <w:rPr>
          <w:rFonts w:hint="eastAsia" w:ascii="黑体" w:hAnsi="黑体" w:eastAsia="黑体" w:cs="黑体"/>
          <w:b/>
          <w:color w:val="auto"/>
          <w:sz w:val="28"/>
          <w:szCs w:val="28"/>
          <w:highlight w:val="none"/>
        </w:rPr>
        <w:t>第十条  保密条款</w:t>
      </w:r>
    </w:p>
    <w:p>
      <w:pPr>
        <w:snapToGrid w:val="0"/>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10.1</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乙方在本合同签订和履行过程中所获得或知悉的关于甲方的所有未公开的信息(包括项目信息、技术图纸、资料、经营信息、人力资源、本合同所涉及的研究内容、研究成果等等)为甲方的秘密，乙方应严守其秘密性，不得用于本合同以外的其他用途，不得提供给任何第三方（但为本项目之目的，向政府有关部门或任何一方为本项目所聘请的其他顾问机构和个人进行披露的除外）。</w:t>
      </w:r>
    </w:p>
    <w:p>
      <w:pPr>
        <w:snapToGrid w:val="0"/>
        <w:spacing w:line="520" w:lineRule="exact"/>
        <w:ind w:firstLine="560" w:firstLineChars="200"/>
        <w:rPr>
          <w:rFonts w:ascii="仿宋" w:hAnsi="仿宋" w:eastAsia="仿宋" w:cs="仿宋"/>
          <w:color w:val="auto"/>
          <w:sz w:val="28"/>
          <w:szCs w:val="28"/>
          <w:highlight w:val="none"/>
        </w:rPr>
      </w:pPr>
      <w:bookmarkStart w:id="148" w:name="OLE_LINK56"/>
      <w:bookmarkStart w:id="149" w:name="OLE_LINK57"/>
      <w:r>
        <w:rPr>
          <w:rFonts w:hint="eastAsia" w:ascii="仿宋" w:hAnsi="仿宋" w:eastAsia="仿宋" w:cs="仿宋"/>
          <w:color w:val="auto"/>
          <w:sz w:val="28"/>
          <w:szCs w:val="28"/>
          <w:highlight w:val="none"/>
        </w:rPr>
        <w:t>10.2</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乙方应采取合理的预防措施</w:t>
      </w:r>
      <w:bookmarkEnd w:id="148"/>
      <w:bookmarkEnd w:id="149"/>
      <w:r>
        <w:rPr>
          <w:rFonts w:hint="eastAsia" w:ascii="仿宋" w:hAnsi="仿宋" w:eastAsia="仿宋" w:cs="仿宋"/>
          <w:color w:val="auto"/>
          <w:sz w:val="28"/>
          <w:szCs w:val="28"/>
          <w:highlight w:val="none"/>
        </w:rPr>
        <w:t>，以确保</w:t>
      </w:r>
      <w:bookmarkStart w:id="150" w:name="OLE_LINK58"/>
      <w:bookmarkStart w:id="151" w:name="OLE_LINK59"/>
      <w:r>
        <w:rPr>
          <w:rFonts w:hint="eastAsia" w:ascii="仿宋" w:hAnsi="仿宋" w:eastAsia="仿宋" w:cs="仿宋"/>
          <w:color w:val="auto"/>
          <w:sz w:val="28"/>
          <w:szCs w:val="28"/>
          <w:highlight w:val="none"/>
        </w:rPr>
        <w:t>只有为本项目实施有关而合理需要该等保密信息的人员和顾问</w:t>
      </w:r>
      <w:bookmarkEnd w:id="150"/>
      <w:bookmarkEnd w:id="151"/>
      <w:r>
        <w:rPr>
          <w:rFonts w:hint="eastAsia" w:ascii="仿宋" w:hAnsi="仿宋" w:eastAsia="仿宋" w:cs="仿宋"/>
          <w:color w:val="auto"/>
          <w:sz w:val="28"/>
          <w:szCs w:val="28"/>
          <w:highlight w:val="none"/>
        </w:rPr>
        <w:t>才能接触到保密信息。</w:t>
      </w:r>
    </w:p>
    <w:p>
      <w:pPr>
        <w:snapToGrid w:val="0"/>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10.3</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无论本合同是否终止或解除，乙方均应按照约定履行保密义务。</w:t>
      </w:r>
    </w:p>
    <w:p>
      <w:pPr>
        <w:snapToGrid w:val="0"/>
        <w:spacing w:line="520" w:lineRule="exact"/>
        <w:ind w:firstLine="562" w:firstLineChars="200"/>
        <w:rPr>
          <w:rFonts w:ascii="黑体" w:hAnsi="黑体" w:eastAsia="黑体" w:cs="黑体"/>
          <w:color w:val="auto"/>
          <w:sz w:val="28"/>
          <w:szCs w:val="28"/>
          <w:highlight w:val="none"/>
        </w:rPr>
      </w:pPr>
      <w:r>
        <w:rPr>
          <w:rFonts w:hint="eastAsia" w:ascii="黑体" w:hAnsi="黑体" w:eastAsia="黑体" w:cs="黑体"/>
          <w:b/>
          <w:color w:val="auto"/>
          <w:sz w:val="28"/>
          <w:szCs w:val="28"/>
          <w:highlight w:val="none"/>
        </w:rPr>
        <w:t>第十一条</w:t>
      </w:r>
      <w:r>
        <w:rPr>
          <w:rFonts w:hint="eastAsia" w:ascii="黑体" w:hAnsi="黑体" w:eastAsia="黑体" w:cs="黑体"/>
          <w:color w:val="auto"/>
          <w:sz w:val="28"/>
          <w:szCs w:val="28"/>
          <w:highlight w:val="none"/>
        </w:rPr>
        <w:t xml:space="preserve">  </w:t>
      </w:r>
      <w:r>
        <w:rPr>
          <w:rFonts w:hint="eastAsia" w:ascii="黑体" w:hAnsi="黑体" w:eastAsia="黑体" w:cs="黑体"/>
          <w:b/>
          <w:bCs/>
          <w:color w:val="auto"/>
          <w:sz w:val="28"/>
          <w:szCs w:val="28"/>
          <w:highlight w:val="none"/>
        </w:rPr>
        <w:t>合同变更与解除</w:t>
      </w:r>
    </w:p>
    <w:p>
      <w:pPr>
        <w:snapToGrid w:val="0"/>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11.1</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本合同的变更必须由双方协商一致，并以书面形式确定后方可生效；</w:t>
      </w:r>
    </w:p>
    <w:p>
      <w:pPr>
        <w:snapToGrid w:val="0"/>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11.2</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如因不可抗力导致</w:t>
      </w:r>
      <w:r>
        <w:rPr>
          <w:rFonts w:hint="eastAsia" w:ascii="仿宋" w:hAnsi="仿宋" w:eastAsia="仿宋" w:cs="仿宋"/>
          <w:color w:val="auto"/>
          <w:sz w:val="28"/>
          <w:szCs w:val="28"/>
          <w:highlight w:val="none"/>
          <w:lang w:eastAsia="zh-CN"/>
        </w:rPr>
        <w:t>项目取消或</w:t>
      </w:r>
      <w:r>
        <w:rPr>
          <w:rFonts w:hint="eastAsia" w:ascii="仿宋" w:hAnsi="仿宋" w:eastAsia="仿宋" w:cs="仿宋"/>
          <w:color w:val="auto"/>
          <w:sz w:val="28"/>
          <w:szCs w:val="28"/>
          <w:highlight w:val="none"/>
        </w:rPr>
        <w:t>本合同无法履行的，</w:t>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可书面通知</w:t>
      </w:r>
      <w:r>
        <w:rPr>
          <w:rFonts w:hint="eastAsia" w:ascii="仿宋" w:hAnsi="仿宋" w:eastAsia="仿宋" w:cs="仿宋"/>
          <w:color w:val="auto"/>
          <w:sz w:val="28"/>
          <w:szCs w:val="28"/>
          <w:highlight w:val="none"/>
          <w:lang w:eastAsia="zh-CN"/>
        </w:rPr>
        <w:t>乙</w:t>
      </w:r>
      <w:r>
        <w:rPr>
          <w:rFonts w:hint="eastAsia" w:ascii="仿宋" w:hAnsi="仿宋" w:eastAsia="仿宋" w:cs="仿宋"/>
          <w:color w:val="auto"/>
          <w:sz w:val="28"/>
          <w:szCs w:val="28"/>
          <w:highlight w:val="none"/>
        </w:rPr>
        <w:t>方解除合同</w:t>
      </w:r>
      <w:r>
        <w:rPr>
          <w:rFonts w:hint="eastAsia" w:ascii="仿宋" w:hAnsi="仿宋" w:eastAsia="仿宋" w:cs="仿宋"/>
          <w:color w:val="auto"/>
          <w:sz w:val="28"/>
          <w:szCs w:val="28"/>
          <w:highlight w:val="none"/>
          <w:lang w:eastAsia="zh-CN"/>
        </w:rPr>
        <w:t>，根据乙方实际工作量就应付的咨询费进行结算</w:t>
      </w:r>
      <w:r>
        <w:rPr>
          <w:rFonts w:hint="eastAsia" w:ascii="仿宋" w:hAnsi="仿宋" w:eastAsia="仿宋" w:cs="仿宋"/>
          <w:color w:val="auto"/>
          <w:sz w:val="28"/>
          <w:szCs w:val="28"/>
          <w:highlight w:val="none"/>
        </w:rPr>
        <w:t>。</w:t>
      </w:r>
    </w:p>
    <w:p>
      <w:pPr>
        <w:snapToGrid w:val="0"/>
        <w:spacing w:line="520" w:lineRule="exact"/>
        <w:ind w:firstLine="560" w:firstLineChars="200"/>
        <w:rPr>
          <w:rFonts w:hint="eastAsia" w:ascii="仿宋" w:hAnsi="仿宋" w:eastAsia="仿宋" w:cs="仿宋"/>
          <w:i w:val="0"/>
          <w:iCs w:val="0"/>
          <w:color w:val="auto"/>
          <w:sz w:val="28"/>
          <w:szCs w:val="28"/>
          <w:highlight w:val="none"/>
        </w:rPr>
      </w:pPr>
      <w:r>
        <w:rPr>
          <w:rFonts w:hint="eastAsia" w:ascii="仿宋" w:hAnsi="仿宋" w:eastAsia="仿宋" w:cs="仿宋"/>
          <w:color w:val="auto"/>
          <w:sz w:val="28"/>
          <w:szCs w:val="28"/>
          <w:highlight w:val="none"/>
        </w:rPr>
        <w:t>11.3</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如因可归责于甲方的原因导致本</w:t>
      </w:r>
      <w:r>
        <w:rPr>
          <w:rFonts w:hint="eastAsia" w:ascii="仿宋" w:hAnsi="仿宋" w:eastAsia="仿宋" w:cs="仿宋"/>
          <w:color w:val="auto"/>
          <w:sz w:val="28"/>
          <w:szCs w:val="28"/>
          <w:highlight w:val="none"/>
          <w:lang w:eastAsia="zh-CN"/>
        </w:rPr>
        <w:t>合同</w:t>
      </w:r>
      <w:r>
        <w:rPr>
          <w:rFonts w:hint="eastAsia" w:ascii="仿宋" w:hAnsi="仿宋" w:eastAsia="仿宋" w:cs="仿宋"/>
          <w:color w:val="auto"/>
          <w:sz w:val="28"/>
          <w:szCs w:val="28"/>
          <w:highlight w:val="none"/>
        </w:rPr>
        <w:t>提前终止的，甲方还应根据乙方实际工作阶段、已经支付的咨询费和已经完成的工作成果与乙方就应付的咨询费进</w:t>
      </w:r>
      <w:r>
        <w:rPr>
          <w:rFonts w:hint="eastAsia" w:ascii="仿宋" w:hAnsi="仿宋" w:eastAsia="仿宋" w:cs="仿宋"/>
          <w:i w:val="0"/>
          <w:iCs w:val="0"/>
          <w:color w:val="auto"/>
          <w:sz w:val="28"/>
          <w:szCs w:val="28"/>
          <w:highlight w:val="none"/>
        </w:rPr>
        <w:t>行结算。</w:t>
      </w:r>
    </w:p>
    <w:p>
      <w:pPr>
        <w:spacing w:line="360" w:lineRule="auto"/>
        <w:ind w:firstLine="560" w:firstLineChars="200"/>
        <w:rPr>
          <w:rFonts w:hint="eastAsia" w:ascii="仿宋" w:hAnsi="仿宋" w:eastAsia="仿宋" w:cs="仿宋"/>
          <w:bCs w:val="0"/>
          <w:color w:val="000000"/>
          <w:sz w:val="28"/>
          <w:szCs w:val="28"/>
          <w:highlight w:val="none"/>
        </w:rPr>
      </w:pPr>
      <w:r>
        <w:rPr>
          <w:rFonts w:hint="eastAsia" w:ascii="仿宋" w:hAnsi="仿宋" w:eastAsia="仿宋" w:cs="仿宋"/>
          <w:color w:val="000000"/>
          <w:sz w:val="28"/>
          <w:szCs w:val="28"/>
          <w:highlight w:val="none"/>
          <w:lang w:val="en-US" w:eastAsia="zh-CN"/>
        </w:rPr>
        <w:t>11.4 如乙方</w:t>
      </w:r>
      <w:r>
        <w:rPr>
          <w:rFonts w:hint="eastAsia" w:ascii="仿宋" w:hAnsi="仿宋" w:eastAsia="仿宋" w:cs="仿宋"/>
          <w:bCs w:val="0"/>
          <w:color w:val="000000"/>
          <w:sz w:val="28"/>
          <w:szCs w:val="28"/>
          <w:highlight w:val="none"/>
        </w:rPr>
        <w:t>未按招标书承诺提供产品或服务、给</w:t>
      </w:r>
      <w:r>
        <w:rPr>
          <w:rFonts w:hint="eastAsia" w:ascii="仿宋" w:hAnsi="仿宋" w:eastAsia="仿宋" w:cs="仿宋"/>
          <w:bCs w:val="0"/>
          <w:color w:val="000000"/>
          <w:sz w:val="28"/>
          <w:szCs w:val="28"/>
          <w:highlight w:val="none"/>
          <w:lang w:eastAsia="zh-CN"/>
        </w:rPr>
        <w:t>甲方</w:t>
      </w:r>
      <w:r>
        <w:rPr>
          <w:rFonts w:hint="eastAsia" w:ascii="仿宋" w:hAnsi="仿宋" w:eastAsia="仿宋" w:cs="仿宋"/>
          <w:bCs w:val="0"/>
          <w:color w:val="000000"/>
          <w:sz w:val="28"/>
          <w:szCs w:val="28"/>
          <w:highlight w:val="none"/>
        </w:rPr>
        <w:t>造成重大安全事故、因自身原因无法履行合同严重影响主体项目</w:t>
      </w:r>
      <w:r>
        <w:rPr>
          <w:rFonts w:hint="eastAsia" w:ascii="仿宋" w:hAnsi="仿宋" w:eastAsia="仿宋" w:cs="仿宋"/>
          <w:bCs w:val="0"/>
          <w:color w:val="000000"/>
          <w:sz w:val="28"/>
          <w:szCs w:val="28"/>
          <w:highlight w:val="none"/>
          <w:lang w:eastAsia="zh-CN"/>
        </w:rPr>
        <w:t>推进</w:t>
      </w:r>
      <w:r>
        <w:rPr>
          <w:rFonts w:hint="eastAsia" w:ascii="仿宋" w:hAnsi="仿宋" w:eastAsia="仿宋" w:cs="仿宋"/>
          <w:bCs w:val="0"/>
          <w:color w:val="000000"/>
          <w:sz w:val="28"/>
          <w:szCs w:val="28"/>
          <w:highlight w:val="none"/>
        </w:rPr>
        <w:t>等情况，</w:t>
      </w:r>
      <w:r>
        <w:rPr>
          <w:rFonts w:hint="eastAsia" w:ascii="仿宋" w:hAnsi="仿宋" w:eastAsia="仿宋" w:cs="仿宋"/>
          <w:bCs w:val="0"/>
          <w:color w:val="000000"/>
          <w:sz w:val="28"/>
          <w:szCs w:val="28"/>
          <w:highlight w:val="none"/>
          <w:lang w:eastAsia="zh-CN"/>
        </w:rPr>
        <w:t>甲方</w:t>
      </w:r>
      <w:r>
        <w:rPr>
          <w:rFonts w:hint="eastAsia" w:ascii="仿宋" w:hAnsi="仿宋" w:eastAsia="仿宋" w:cs="仿宋"/>
          <w:bCs w:val="0"/>
          <w:color w:val="000000"/>
          <w:sz w:val="28"/>
          <w:szCs w:val="28"/>
          <w:highlight w:val="none"/>
        </w:rPr>
        <w:t>有权终止合同，且不退还履约保证金。</w:t>
      </w:r>
    </w:p>
    <w:p>
      <w:pPr>
        <w:spacing w:line="360" w:lineRule="auto"/>
        <w:ind w:firstLine="560" w:firstLineChars="200"/>
        <w:rPr>
          <w:rFonts w:ascii="Times New Roman" w:hAnsi="Times New Roman" w:eastAsia="宋体" w:cs="Times New Roman"/>
          <w:color w:val="auto"/>
          <w:sz w:val="21"/>
          <w:szCs w:val="22"/>
          <w:highlight w:val="none"/>
        </w:rPr>
      </w:pPr>
      <w:r>
        <w:rPr>
          <w:rFonts w:hint="eastAsia" w:ascii="仿宋" w:hAnsi="仿宋" w:eastAsia="仿宋" w:cs="仿宋"/>
          <w:color w:val="000000"/>
          <w:sz w:val="28"/>
          <w:szCs w:val="28"/>
          <w:highlight w:val="none"/>
          <w:lang w:val="en-US" w:eastAsia="zh-CN"/>
        </w:rPr>
        <w:t xml:space="preserve">11.5 </w:t>
      </w:r>
      <w:r>
        <w:rPr>
          <w:rFonts w:hint="eastAsia" w:ascii="仿宋" w:hAnsi="仿宋" w:eastAsia="仿宋" w:cs="仿宋"/>
          <w:color w:val="000000"/>
          <w:sz w:val="28"/>
          <w:szCs w:val="28"/>
          <w:highlight w:val="none"/>
          <w:lang w:eastAsia="zh-CN"/>
        </w:rPr>
        <w:t>如</w:t>
      </w:r>
      <w:r>
        <w:rPr>
          <w:rFonts w:hint="eastAsia" w:ascii="仿宋" w:hAnsi="仿宋" w:eastAsia="仿宋" w:cs="仿宋"/>
          <w:color w:val="000000"/>
          <w:sz w:val="28"/>
          <w:szCs w:val="28"/>
          <w:highlight w:val="none"/>
        </w:rPr>
        <w:t>在合同实施阶段</w:t>
      </w:r>
      <w:r>
        <w:rPr>
          <w:rFonts w:hint="eastAsia" w:ascii="仿宋" w:hAnsi="仿宋" w:eastAsia="仿宋" w:cs="仿宋"/>
          <w:color w:val="000000"/>
          <w:sz w:val="28"/>
          <w:szCs w:val="28"/>
          <w:highlight w:val="none"/>
          <w:lang w:eastAsia="zh-CN"/>
        </w:rPr>
        <w:t>，甲方</w:t>
      </w:r>
      <w:r>
        <w:rPr>
          <w:rFonts w:hint="eastAsia" w:ascii="仿宋" w:hAnsi="仿宋" w:eastAsia="仿宋" w:cs="仿宋"/>
          <w:color w:val="000000"/>
          <w:sz w:val="28"/>
          <w:szCs w:val="28"/>
          <w:highlight w:val="none"/>
        </w:rPr>
        <w:t>发现</w:t>
      </w:r>
      <w:r>
        <w:rPr>
          <w:rFonts w:hint="eastAsia" w:ascii="仿宋" w:hAnsi="仿宋" w:eastAsia="仿宋" w:cs="仿宋"/>
          <w:color w:val="000000"/>
          <w:sz w:val="28"/>
          <w:szCs w:val="28"/>
          <w:highlight w:val="none"/>
          <w:lang w:eastAsia="zh-CN"/>
        </w:rPr>
        <w:t>乙方</w:t>
      </w:r>
      <w:r>
        <w:rPr>
          <w:rFonts w:hint="eastAsia" w:ascii="仿宋" w:hAnsi="仿宋" w:eastAsia="仿宋" w:cs="仿宋"/>
          <w:color w:val="000000"/>
          <w:sz w:val="28"/>
          <w:szCs w:val="28"/>
          <w:highlight w:val="none"/>
        </w:rPr>
        <w:t>在投标时提供了虚假资料，</w:t>
      </w:r>
      <w:r>
        <w:rPr>
          <w:rFonts w:hint="eastAsia" w:ascii="仿宋" w:hAnsi="仿宋" w:eastAsia="仿宋" w:cs="仿宋"/>
          <w:bCs w:val="0"/>
          <w:color w:val="000000"/>
          <w:sz w:val="28"/>
          <w:szCs w:val="28"/>
          <w:highlight w:val="none"/>
          <w:lang w:eastAsia="zh-CN"/>
        </w:rPr>
        <w:t>甲方</w:t>
      </w:r>
      <w:r>
        <w:rPr>
          <w:rFonts w:hint="eastAsia" w:ascii="仿宋" w:hAnsi="仿宋" w:eastAsia="仿宋" w:cs="仿宋"/>
          <w:bCs w:val="0"/>
          <w:color w:val="000000"/>
          <w:sz w:val="28"/>
          <w:szCs w:val="28"/>
          <w:highlight w:val="none"/>
        </w:rPr>
        <w:t>有权终止合同，</w:t>
      </w:r>
      <w:r>
        <w:rPr>
          <w:rFonts w:hint="eastAsia" w:ascii="仿宋" w:hAnsi="仿宋" w:eastAsia="仿宋" w:cs="仿宋"/>
          <w:color w:val="000000"/>
          <w:sz w:val="28"/>
          <w:szCs w:val="28"/>
          <w:highlight w:val="none"/>
        </w:rPr>
        <w:t>给</w:t>
      </w:r>
      <w:r>
        <w:rPr>
          <w:rFonts w:hint="eastAsia" w:ascii="仿宋" w:hAnsi="仿宋" w:eastAsia="仿宋" w:cs="仿宋"/>
          <w:color w:val="000000"/>
          <w:sz w:val="28"/>
          <w:szCs w:val="28"/>
          <w:highlight w:val="none"/>
          <w:lang w:eastAsia="zh-CN"/>
        </w:rPr>
        <w:t>甲方</w:t>
      </w:r>
      <w:r>
        <w:rPr>
          <w:rFonts w:hint="eastAsia" w:ascii="仿宋" w:hAnsi="仿宋" w:eastAsia="仿宋" w:cs="仿宋"/>
          <w:color w:val="000000"/>
          <w:sz w:val="28"/>
          <w:szCs w:val="28"/>
          <w:highlight w:val="none"/>
        </w:rPr>
        <w:t>造成损失的，</w:t>
      </w:r>
      <w:r>
        <w:rPr>
          <w:rFonts w:hint="eastAsia" w:ascii="仿宋" w:hAnsi="仿宋" w:eastAsia="仿宋" w:cs="仿宋"/>
          <w:color w:val="000000"/>
          <w:sz w:val="28"/>
          <w:szCs w:val="28"/>
          <w:highlight w:val="none"/>
          <w:lang w:eastAsia="zh-CN"/>
        </w:rPr>
        <w:t>乙方还应</w:t>
      </w:r>
      <w:r>
        <w:rPr>
          <w:rFonts w:hint="eastAsia" w:ascii="仿宋" w:hAnsi="仿宋" w:eastAsia="仿宋" w:cs="仿宋"/>
          <w:color w:val="000000"/>
          <w:sz w:val="28"/>
          <w:szCs w:val="28"/>
          <w:highlight w:val="none"/>
        </w:rPr>
        <w:t>依法承担违约赔偿责任。</w:t>
      </w:r>
    </w:p>
    <w:p>
      <w:pPr>
        <w:snapToGrid w:val="0"/>
        <w:spacing w:line="520" w:lineRule="exact"/>
        <w:ind w:firstLine="562" w:firstLineChars="200"/>
        <w:rPr>
          <w:rFonts w:ascii="黑体" w:hAnsi="黑体" w:eastAsia="黑体" w:cs="黑体"/>
          <w:b/>
          <w:bCs/>
          <w:i w:val="0"/>
          <w:iCs w:val="0"/>
          <w:color w:val="auto"/>
          <w:sz w:val="28"/>
          <w:szCs w:val="28"/>
          <w:highlight w:val="none"/>
        </w:rPr>
      </w:pPr>
      <w:r>
        <w:rPr>
          <w:rFonts w:hint="eastAsia" w:ascii="黑体" w:hAnsi="黑体" w:eastAsia="黑体" w:cs="黑体"/>
          <w:b/>
          <w:bCs/>
          <w:i w:val="0"/>
          <w:iCs w:val="0"/>
          <w:color w:val="auto"/>
          <w:sz w:val="28"/>
          <w:szCs w:val="28"/>
          <w:highlight w:val="none"/>
        </w:rPr>
        <w:t>第十二条  违约责任</w:t>
      </w:r>
    </w:p>
    <w:p>
      <w:pPr>
        <w:spacing w:line="520" w:lineRule="exact"/>
        <w:ind w:firstLine="560" w:firstLineChars="200"/>
        <w:rPr>
          <w:rFonts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12.1</w:t>
      </w:r>
      <w:r>
        <w:rPr>
          <w:rFonts w:hint="eastAsia" w:ascii="仿宋" w:hAnsi="仿宋" w:eastAsia="仿宋" w:cs="仿宋"/>
          <w:i w:val="0"/>
          <w:iCs w:val="0"/>
          <w:color w:val="auto"/>
          <w:sz w:val="28"/>
          <w:szCs w:val="28"/>
          <w:highlight w:val="none"/>
          <w:lang w:val="en-US" w:eastAsia="zh-CN"/>
        </w:rPr>
        <w:t xml:space="preserve"> </w:t>
      </w:r>
      <w:r>
        <w:rPr>
          <w:rFonts w:hint="eastAsia" w:ascii="仿宋" w:hAnsi="仿宋" w:eastAsia="仿宋" w:cs="仿宋"/>
          <w:i w:val="0"/>
          <w:iCs w:val="0"/>
          <w:color w:val="auto"/>
          <w:sz w:val="28"/>
          <w:szCs w:val="28"/>
          <w:highlight w:val="none"/>
        </w:rPr>
        <w:t>若乙方迟延提交（各阶段）咨询成果，每逾期一日应按</w:t>
      </w:r>
      <w:r>
        <w:rPr>
          <w:rFonts w:hint="eastAsia" w:ascii="仿宋" w:hAnsi="仿宋" w:eastAsia="仿宋" w:cs="仿宋"/>
          <w:i w:val="0"/>
          <w:iCs w:val="0"/>
          <w:color w:val="auto"/>
          <w:sz w:val="28"/>
          <w:szCs w:val="28"/>
          <w:highlight w:val="none"/>
          <w:u w:val="single"/>
        </w:rPr>
        <w:t>合同金额</w:t>
      </w:r>
      <w:r>
        <w:rPr>
          <w:rFonts w:hint="eastAsia" w:ascii="仿宋" w:hAnsi="仿宋" w:eastAsia="仿宋" w:cs="仿宋"/>
          <w:i w:val="0"/>
          <w:iCs w:val="0"/>
          <w:color w:val="auto"/>
          <w:sz w:val="28"/>
          <w:szCs w:val="28"/>
          <w:highlight w:val="none"/>
          <w:u w:val="single"/>
          <w:lang w:eastAsia="zh-CN"/>
        </w:rPr>
        <w:t>千分之二</w:t>
      </w:r>
      <w:r>
        <w:rPr>
          <w:rFonts w:hint="eastAsia" w:ascii="仿宋" w:hAnsi="仿宋" w:eastAsia="仿宋" w:cs="仿宋"/>
          <w:i w:val="0"/>
          <w:iCs w:val="0"/>
          <w:color w:val="auto"/>
          <w:sz w:val="28"/>
          <w:szCs w:val="28"/>
          <w:highlight w:val="none"/>
        </w:rPr>
        <w:t>的标准向甲方支付违约金；若迟延超过</w:t>
      </w:r>
      <w:r>
        <w:rPr>
          <w:rFonts w:hint="eastAsia" w:ascii="仿宋" w:hAnsi="仿宋" w:eastAsia="仿宋" w:cs="仿宋"/>
          <w:b/>
          <w:bCs/>
          <w:i w:val="0"/>
          <w:iCs w:val="0"/>
          <w:color w:val="auto"/>
          <w:sz w:val="28"/>
          <w:szCs w:val="28"/>
          <w:highlight w:val="none"/>
          <w:u w:val="single"/>
        </w:rPr>
        <w:t xml:space="preserve"> </w:t>
      </w:r>
      <w:r>
        <w:rPr>
          <w:rFonts w:hint="eastAsia" w:ascii="仿宋" w:hAnsi="仿宋" w:eastAsia="仿宋" w:cs="仿宋"/>
          <w:i w:val="0"/>
          <w:iCs w:val="0"/>
          <w:color w:val="auto"/>
          <w:sz w:val="28"/>
          <w:szCs w:val="28"/>
          <w:highlight w:val="none"/>
          <w:u w:val="single"/>
        </w:rPr>
        <w:t xml:space="preserve">30 </w:t>
      </w:r>
      <w:r>
        <w:rPr>
          <w:rFonts w:hint="eastAsia" w:ascii="仿宋" w:hAnsi="仿宋" w:eastAsia="仿宋" w:cs="仿宋"/>
          <w:i w:val="0"/>
          <w:iCs w:val="0"/>
          <w:color w:val="auto"/>
          <w:sz w:val="28"/>
          <w:szCs w:val="28"/>
          <w:highlight w:val="none"/>
        </w:rPr>
        <w:t>个工作日，则甲方有权解除合同，乙方应按照合同金额</w:t>
      </w:r>
      <w:r>
        <w:rPr>
          <w:rFonts w:hint="eastAsia" w:ascii="仿宋" w:hAnsi="仿宋" w:eastAsia="仿宋" w:cs="仿宋"/>
          <w:i w:val="0"/>
          <w:iCs w:val="0"/>
          <w:color w:val="auto"/>
          <w:sz w:val="28"/>
          <w:szCs w:val="28"/>
          <w:highlight w:val="none"/>
          <w:u w:val="single"/>
        </w:rPr>
        <w:t>20%</w:t>
      </w:r>
      <w:r>
        <w:rPr>
          <w:rFonts w:hint="eastAsia" w:ascii="仿宋" w:hAnsi="仿宋" w:eastAsia="仿宋" w:cs="仿宋"/>
          <w:i w:val="0"/>
          <w:iCs w:val="0"/>
          <w:color w:val="auto"/>
          <w:sz w:val="28"/>
          <w:szCs w:val="28"/>
          <w:highlight w:val="none"/>
        </w:rPr>
        <w:t>的标准向甲方支付违约金，并承担由此给甲方造成的全部损失。</w:t>
      </w:r>
    </w:p>
    <w:p>
      <w:pPr>
        <w:spacing w:line="520" w:lineRule="exact"/>
        <w:ind w:firstLine="560" w:firstLineChars="200"/>
        <w:rPr>
          <w:rFonts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12.2</w:t>
      </w:r>
      <w:r>
        <w:rPr>
          <w:rFonts w:hint="eastAsia" w:ascii="仿宋" w:hAnsi="仿宋" w:eastAsia="仿宋" w:cs="仿宋"/>
          <w:i w:val="0"/>
          <w:iCs w:val="0"/>
          <w:color w:val="auto"/>
          <w:sz w:val="28"/>
          <w:szCs w:val="28"/>
          <w:highlight w:val="none"/>
          <w:lang w:val="en-US" w:eastAsia="zh-CN"/>
        </w:rPr>
        <w:t xml:space="preserve"> </w:t>
      </w:r>
      <w:r>
        <w:rPr>
          <w:rFonts w:hint="eastAsia" w:ascii="仿宋" w:hAnsi="仿宋" w:eastAsia="仿宋" w:cs="仿宋"/>
          <w:i w:val="0"/>
          <w:iCs w:val="0"/>
          <w:color w:val="auto"/>
          <w:sz w:val="28"/>
          <w:szCs w:val="28"/>
          <w:highlight w:val="none"/>
        </w:rPr>
        <w:t>如乙方提交的工作成果因不符合要求未能通过验收，乙方应无条件负责修改、完善，修改完善后提交合格成果的日期不得晚于本合同约定的提交日期，若迟延提交，按照本条第1款约定的标准承担违约责任。</w:t>
      </w:r>
    </w:p>
    <w:p>
      <w:pPr>
        <w:spacing w:line="520" w:lineRule="exact"/>
        <w:ind w:firstLine="560" w:firstLineChars="200"/>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12.3</w:t>
      </w:r>
      <w:r>
        <w:rPr>
          <w:rFonts w:hint="eastAsia" w:ascii="仿宋" w:hAnsi="仿宋" w:eastAsia="仿宋" w:cs="仿宋"/>
          <w:i w:val="0"/>
          <w:iCs w:val="0"/>
          <w:color w:val="auto"/>
          <w:sz w:val="28"/>
          <w:szCs w:val="28"/>
          <w:highlight w:val="none"/>
          <w:lang w:val="en-US" w:eastAsia="zh-CN"/>
        </w:rPr>
        <w:t xml:space="preserve"> </w:t>
      </w:r>
      <w:r>
        <w:rPr>
          <w:rFonts w:hint="eastAsia" w:ascii="仿宋" w:hAnsi="仿宋" w:eastAsia="仿宋" w:cs="仿宋"/>
          <w:i w:val="0"/>
          <w:iCs w:val="0"/>
          <w:color w:val="auto"/>
          <w:sz w:val="28"/>
          <w:szCs w:val="28"/>
          <w:highlight w:val="none"/>
        </w:rPr>
        <w:t>甲方未能按时支付咨询费的</w:t>
      </w:r>
      <w:r>
        <w:rPr>
          <w:rFonts w:hint="eastAsia" w:ascii="仿宋_GB2312" w:hAnsi="仿宋_GB2312" w:eastAsia="仿宋_GB2312" w:cs="仿宋_GB2312"/>
          <w:i w:val="0"/>
          <w:iCs w:val="0"/>
          <w:color w:val="auto"/>
          <w:sz w:val="28"/>
          <w:szCs w:val="28"/>
          <w:highlight w:val="none"/>
        </w:rPr>
        <w:t>，</w:t>
      </w:r>
      <w:r>
        <w:rPr>
          <w:rFonts w:hint="eastAsia" w:ascii="仿宋" w:hAnsi="仿宋" w:eastAsia="仿宋" w:cs="仿宋"/>
          <w:i w:val="0"/>
          <w:iCs w:val="0"/>
          <w:color w:val="auto"/>
          <w:sz w:val="28"/>
          <w:szCs w:val="28"/>
          <w:highlight w:val="none"/>
        </w:rPr>
        <w:t>每逾期一日应按</w:t>
      </w:r>
      <w:r>
        <w:rPr>
          <w:rFonts w:hint="eastAsia" w:ascii="仿宋" w:hAnsi="仿宋" w:eastAsia="仿宋" w:cs="仿宋"/>
          <w:i w:val="0"/>
          <w:iCs w:val="0"/>
          <w:color w:val="auto"/>
          <w:sz w:val="28"/>
          <w:szCs w:val="28"/>
          <w:highlight w:val="none"/>
          <w:u w:val="single"/>
        </w:rPr>
        <w:t>未付金额万分之五</w:t>
      </w:r>
      <w:r>
        <w:rPr>
          <w:rFonts w:hint="eastAsia" w:ascii="仿宋" w:hAnsi="仿宋" w:eastAsia="仿宋" w:cs="仿宋"/>
          <w:i w:val="0"/>
          <w:iCs w:val="0"/>
          <w:color w:val="auto"/>
          <w:sz w:val="28"/>
          <w:szCs w:val="28"/>
          <w:highlight w:val="none"/>
        </w:rPr>
        <w:t>的标准向乙方支付违约金。</w:t>
      </w:r>
    </w:p>
    <w:p>
      <w:pPr>
        <w:spacing w:line="520" w:lineRule="exact"/>
        <w:ind w:firstLine="560" w:firstLineChars="200"/>
        <w:rPr>
          <w:rFonts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12.4</w:t>
      </w:r>
      <w:r>
        <w:rPr>
          <w:rFonts w:hint="eastAsia" w:ascii="仿宋" w:hAnsi="仿宋" w:eastAsia="仿宋" w:cs="仿宋"/>
          <w:i w:val="0"/>
          <w:iCs w:val="0"/>
          <w:color w:val="auto"/>
          <w:sz w:val="28"/>
          <w:szCs w:val="28"/>
          <w:highlight w:val="none"/>
          <w:lang w:val="en-US" w:eastAsia="zh-CN"/>
        </w:rPr>
        <w:t xml:space="preserve"> </w:t>
      </w:r>
      <w:r>
        <w:rPr>
          <w:rFonts w:hint="eastAsia" w:ascii="仿宋" w:hAnsi="仿宋" w:eastAsia="仿宋" w:cs="仿宋"/>
          <w:i w:val="0"/>
          <w:iCs w:val="0"/>
          <w:color w:val="auto"/>
          <w:sz w:val="28"/>
          <w:szCs w:val="28"/>
          <w:highlight w:val="none"/>
        </w:rPr>
        <w:t>乙方将本合同内容转包或者分包给第三方承担的，甲方有权利解除合同，乙方应按照合同金额</w:t>
      </w:r>
      <w:r>
        <w:rPr>
          <w:rFonts w:hint="eastAsia" w:ascii="仿宋" w:hAnsi="仿宋" w:eastAsia="仿宋" w:cs="仿宋"/>
          <w:i w:val="0"/>
          <w:iCs w:val="0"/>
          <w:color w:val="auto"/>
          <w:sz w:val="28"/>
          <w:szCs w:val="28"/>
          <w:highlight w:val="none"/>
          <w:u w:val="single"/>
        </w:rPr>
        <w:t xml:space="preserve"> 50%</w:t>
      </w:r>
      <w:r>
        <w:rPr>
          <w:rFonts w:hint="eastAsia" w:ascii="仿宋" w:hAnsi="仿宋" w:eastAsia="仿宋" w:cs="仿宋"/>
          <w:i w:val="0"/>
          <w:iCs w:val="0"/>
          <w:color w:val="auto"/>
          <w:sz w:val="28"/>
          <w:szCs w:val="28"/>
          <w:highlight w:val="none"/>
        </w:rPr>
        <w:t>的标准向甲方支付违约金，并承担由此给甲方造成的全部损失。</w:t>
      </w:r>
    </w:p>
    <w:p>
      <w:pPr>
        <w:spacing w:line="520" w:lineRule="exact"/>
        <w:ind w:firstLine="560" w:firstLineChars="200"/>
        <w:rPr>
          <w:rFonts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12.5</w:t>
      </w:r>
      <w:r>
        <w:rPr>
          <w:rFonts w:hint="eastAsia" w:ascii="仿宋" w:hAnsi="仿宋" w:eastAsia="仿宋" w:cs="仿宋"/>
          <w:i w:val="0"/>
          <w:iCs w:val="0"/>
          <w:color w:val="auto"/>
          <w:sz w:val="28"/>
          <w:szCs w:val="28"/>
          <w:highlight w:val="none"/>
          <w:lang w:val="en-US" w:eastAsia="zh-CN"/>
        </w:rPr>
        <w:t xml:space="preserve"> </w:t>
      </w:r>
      <w:r>
        <w:rPr>
          <w:rFonts w:hint="eastAsia" w:ascii="仿宋" w:hAnsi="仿宋" w:eastAsia="仿宋" w:cs="仿宋"/>
          <w:i w:val="0"/>
          <w:iCs w:val="0"/>
          <w:color w:val="auto"/>
          <w:sz w:val="28"/>
          <w:szCs w:val="28"/>
          <w:highlight w:val="none"/>
        </w:rPr>
        <w:t>如乙方违反约定，未经甲方同意，擅自对</w:t>
      </w:r>
      <w:r>
        <w:rPr>
          <w:rFonts w:hint="eastAsia" w:ascii="仿宋" w:hAnsi="仿宋" w:eastAsia="仿宋" w:cs="仿宋"/>
          <w:i w:val="0"/>
          <w:iCs w:val="0"/>
          <w:color w:val="auto"/>
          <w:sz w:val="28"/>
          <w:szCs w:val="28"/>
          <w:highlight w:val="none"/>
          <w:lang w:eastAsia="zh-CN"/>
        </w:rPr>
        <w:t>项目</w:t>
      </w:r>
      <w:r>
        <w:rPr>
          <w:rFonts w:hint="eastAsia" w:ascii="仿宋" w:hAnsi="仿宋" w:eastAsia="仿宋" w:cs="仿宋"/>
          <w:i w:val="0"/>
          <w:iCs w:val="0"/>
          <w:color w:val="auto"/>
          <w:sz w:val="28"/>
          <w:szCs w:val="28"/>
          <w:highlight w:val="none"/>
          <w:lang w:val="en-US" w:eastAsia="zh-CN"/>
        </w:rPr>
        <w:t>组成员</w:t>
      </w:r>
      <w:r>
        <w:rPr>
          <w:rFonts w:hint="eastAsia" w:ascii="仿宋" w:hAnsi="仿宋" w:eastAsia="仿宋" w:cs="仿宋"/>
          <w:i w:val="0"/>
          <w:iCs w:val="0"/>
          <w:color w:val="auto"/>
          <w:sz w:val="28"/>
          <w:szCs w:val="28"/>
          <w:highlight w:val="none"/>
        </w:rPr>
        <w:t>径行更换的，甲方有权</w:t>
      </w:r>
      <w:r>
        <w:rPr>
          <w:rFonts w:hint="eastAsia" w:ascii="仿宋" w:hAnsi="仿宋" w:eastAsia="仿宋" w:cs="仿宋"/>
          <w:i w:val="0"/>
          <w:iCs w:val="0"/>
          <w:color w:val="auto"/>
          <w:sz w:val="28"/>
          <w:szCs w:val="28"/>
          <w:highlight w:val="none"/>
          <w:lang w:eastAsia="zh-CN"/>
        </w:rPr>
        <w:t>终止合同，并</w:t>
      </w:r>
      <w:r>
        <w:rPr>
          <w:rFonts w:hint="eastAsia" w:ascii="仿宋" w:hAnsi="仿宋" w:eastAsia="仿宋" w:cs="仿宋"/>
          <w:i w:val="0"/>
          <w:iCs w:val="0"/>
          <w:color w:val="auto"/>
          <w:sz w:val="28"/>
          <w:szCs w:val="28"/>
          <w:highlight w:val="none"/>
        </w:rPr>
        <w:t>要求乙方按照</w:t>
      </w:r>
      <w:r>
        <w:rPr>
          <w:rFonts w:hint="eastAsia" w:ascii="仿宋" w:hAnsi="仿宋" w:eastAsia="仿宋" w:cs="仿宋"/>
          <w:b/>
          <w:bCs/>
          <w:i w:val="0"/>
          <w:iCs w:val="0"/>
          <w:color w:val="auto"/>
          <w:sz w:val="28"/>
          <w:szCs w:val="28"/>
          <w:highlight w:val="none"/>
          <w:u w:val="single"/>
        </w:rPr>
        <w:t xml:space="preserve"> </w:t>
      </w:r>
      <w:r>
        <w:rPr>
          <w:rFonts w:hint="eastAsia" w:ascii="仿宋" w:hAnsi="仿宋" w:eastAsia="仿宋" w:cs="仿宋"/>
          <w:b/>
          <w:bCs/>
          <w:i w:val="0"/>
          <w:iCs w:val="0"/>
          <w:color w:val="auto"/>
          <w:sz w:val="28"/>
          <w:szCs w:val="28"/>
          <w:highlight w:val="none"/>
          <w:u w:val="single"/>
          <w:lang w:val="en-US" w:eastAsia="zh-CN"/>
        </w:rPr>
        <w:t>5</w:t>
      </w:r>
      <w:r>
        <w:rPr>
          <w:rFonts w:hint="eastAsia" w:ascii="仿宋" w:hAnsi="仿宋" w:eastAsia="仿宋" w:cs="仿宋"/>
          <w:i w:val="0"/>
          <w:iCs w:val="0"/>
          <w:color w:val="auto"/>
          <w:sz w:val="28"/>
          <w:szCs w:val="28"/>
          <w:highlight w:val="none"/>
          <w:u w:val="single"/>
        </w:rPr>
        <w:t>万元/人次的标准</w:t>
      </w:r>
      <w:r>
        <w:rPr>
          <w:rFonts w:hint="eastAsia" w:ascii="仿宋" w:hAnsi="仿宋" w:eastAsia="仿宋" w:cs="仿宋"/>
          <w:i w:val="0"/>
          <w:iCs w:val="0"/>
          <w:color w:val="auto"/>
          <w:sz w:val="28"/>
          <w:szCs w:val="28"/>
          <w:highlight w:val="none"/>
        </w:rPr>
        <w:t>支付违约金。</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i w:val="0"/>
          <w:iCs w:val="0"/>
          <w:color w:val="auto"/>
          <w:sz w:val="28"/>
          <w:szCs w:val="28"/>
          <w:highlight w:val="none"/>
        </w:rPr>
        <w:t>12.6</w:t>
      </w:r>
      <w:r>
        <w:rPr>
          <w:rFonts w:hint="eastAsia" w:ascii="仿宋" w:hAnsi="仿宋" w:eastAsia="仿宋" w:cs="仿宋"/>
          <w:i w:val="0"/>
          <w:iCs w:val="0"/>
          <w:color w:val="auto"/>
          <w:sz w:val="28"/>
          <w:szCs w:val="28"/>
          <w:highlight w:val="none"/>
          <w:lang w:val="en-US" w:eastAsia="zh-CN"/>
        </w:rPr>
        <w:t xml:space="preserve"> </w:t>
      </w:r>
      <w:r>
        <w:rPr>
          <w:rFonts w:hint="eastAsia" w:ascii="仿宋" w:hAnsi="仿宋" w:eastAsia="仿宋" w:cs="仿宋"/>
          <w:i w:val="0"/>
          <w:iCs w:val="0"/>
          <w:color w:val="auto"/>
          <w:sz w:val="28"/>
          <w:szCs w:val="28"/>
          <w:highlight w:val="none"/>
        </w:rPr>
        <w:t>若乙方违反本合同保密义务或者有其他严重违约行为，甲方有权要求乙方支付相当于合同价款</w:t>
      </w:r>
      <w:r>
        <w:rPr>
          <w:rFonts w:hint="eastAsia" w:ascii="仿宋" w:hAnsi="仿宋" w:eastAsia="仿宋" w:cs="仿宋"/>
          <w:i w:val="0"/>
          <w:iCs w:val="0"/>
          <w:color w:val="auto"/>
          <w:sz w:val="28"/>
          <w:szCs w:val="28"/>
          <w:highlight w:val="none"/>
          <w:u w:val="single"/>
        </w:rPr>
        <w:t>20%</w:t>
      </w:r>
      <w:r>
        <w:rPr>
          <w:rFonts w:hint="eastAsia" w:ascii="仿宋" w:hAnsi="仿宋" w:eastAsia="仿宋" w:cs="仿宋"/>
          <w:i w:val="0"/>
          <w:iCs w:val="0"/>
          <w:color w:val="auto"/>
          <w:sz w:val="28"/>
          <w:szCs w:val="28"/>
          <w:highlight w:val="none"/>
        </w:rPr>
        <w:t>的违约金并承担由此给甲方造成的全部</w:t>
      </w:r>
      <w:r>
        <w:rPr>
          <w:rFonts w:hint="eastAsia" w:ascii="仿宋" w:hAnsi="仿宋" w:eastAsia="仿宋" w:cs="仿宋"/>
          <w:color w:val="auto"/>
          <w:sz w:val="28"/>
          <w:szCs w:val="28"/>
          <w:highlight w:val="none"/>
        </w:rPr>
        <w:t>损失。</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12.7</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若因乙方所提供的咨询成果存在侵害他人知识产权等权利瑕疵，乙方负责处理并承担法律后果，造成甲方损失，乙方应当赔偿甲方的全部损失。</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12.8</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本条规定的应支付的违约金，可以从待付的合同款项中直接扣减。</w:t>
      </w:r>
    </w:p>
    <w:p>
      <w:pPr>
        <w:snapToGrid w:val="0"/>
        <w:spacing w:line="520" w:lineRule="exact"/>
        <w:ind w:firstLine="562" w:firstLineChars="200"/>
        <w:rPr>
          <w:rFonts w:ascii="黑体" w:hAnsi="黑体" w:eastAsia="黑体" w:cs="黑体"/>
          <w:b/>
          <w:color w:val="auto"/>
          <w:sz w:val="28"/>
          <w:szCs w:val="28"/>
          <w:highlight w:val="none"/>
        </w:rPr>
      </w:pPr>
      <w:r>
        <w:rPr>
          <w:rFonts w:hint="eastAsia" w:ascii="黑体" w:hAnsi="黑体" w:eastAsia="黑体" w:cs="黑体"/>
          <w:b/>
          <w:color w:val="auto"/>
          <w:sz w:val="28"/>
          <w:szCs w:val="28"/>
          <w:highlight w:val="none"/>
        </w:rPr>
        <w:t>第十三条  争议解决</w:t>
      </w:r>
    </w:p>
    <w:p>
      <w:pPr>
        <w:snapToGrid w:val="0"/>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13.1</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双方因履行本合同而发生的争议，应协商解决。协商不成的，依法向甲方所在地人民法院起诉。</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13.1</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本合同中的任何条款如因任何原因导致全部或部分无效，本合同的其他条款仍有效，应当予以履行。</w:t>
      </w:r>
    </w:p>
    <w:p>
      <w:pPr>
        <w:spacing w:line="520" w:lineRule="exact"/>
        <w:ind w:firstLine="562" w:firstLineChars="200"/>
        <w:rPr>
          <w:rFonts w:ascii="黑体" w:hAnsi="黑体" w:eastAsia="黑体" w:cs="黑体"/>
          <w:color w:val="auto"/>
          <w:sz w:val="28"/>
          <w:szCs w:val="28"/>
          <w:highlight w:val="none"/>
        </w:rPr>
      </w:pPr>
      <w:r>
        <w:rPr>
          <w:rFonts w:hint="eastAsia" w:ascii="黑体" w:hAnsi="黑体" w:eastAsia="黑体" w:cs="黑体"/>
          <w:b/>
          <w:color w:val="auto"/>
          <w:sz w:val="28"/>
          <w:szCs w:val="28"/>
          <w:highlight w:val="none"/>
        </w:rPr>
        <w:t>第十四条  其它</w:t>
      </w:r>
      <w:r>
        <w:rPr>
          <w:rFonts w:hint="eastAsia" w:ascii="黑体" w:hAnsi="黑体" w:eastAsia="黑体" w:cs="黑体"/>
          <w:color w:val="auto"/>
          <w:sz w:val="28"/>
          <w:szCs w:val="28"/>
          <w:highlight w:val="none"/>
        </w:rPr>
        <w:t xml:space="preserve"> </w:t>
      </w:r>
    </w:p>
    <w:p>
      <w:pPr>
        <w:spacing w:line="520" w:lineRule="exact"/>
        <w:ind w:firstLine="560" w:firstLineChars="200"/>
        <w:rPr>
          <w:rFonts w:ascii="仿宋" w:hAnsi="仿宋" w:eastAsia="仿宋" w:cs="仿宋"/>
          <w:color w:val="auto"/>
          <w:spacing w:val="-6"/>
          <w:sz w:val="28"/>
          <w:szCs w:val="28"/>
          <w:highlight w:val="none"/>
          <w:u w:val="single"/>
        </w:rPr>
      </w:pPr>
      <w:r>
        <w:rPr>
          <w:rFonts w:hint="eastAsia" w:ascii="仿宋" w:hAnsi="仿宋" w:eastAsia="仿宋" w:cs="仿宋"/>
          <w:color w:val="auto"/>
          <w:sz w:val="28"/>
          <w:szCs w:val="28"/>
          <w:highlight w:val="none"/>
        </w:rPr>
        <w:t>14.1</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pacing w:val="-6"/>
          <w:sz w:val="28"/>
          <w:szCs w:val="28"/>
          <w:highlight w:val="none"/>
        </w:rPr>
        <w:t>本合同一式</w:t>
      </w:r>
      <w:r>
        <w:rPr>
          <w:rFonts w:hint="eastAsia" w:ascii="仿宋" w:hAnsi="仿宋" w:eastAsia="仿宋" w:cs="仿宋"/>
          <w:color w:val="auto"/>
          <w:spacing w:val="-6"/>
          <w:sz w:val="28"/>
          <w:szCs w:val="28"/>
          <w:highlight w:val="none"/>
          <w:u w:val="single"/>
        </w:rPr>
        <w:t xml:space="preserve">   </w:t>
      </w:r>
      <w:r>
        <w:rPr>
          <w:rFonts w:hint="eastAsia" w:ascii="仿宋" w:hAnsi="仿宋" w:eastAsia="仿宋" w:cs="仿宋"/>
          <w:color w:val="auto"/>
          <w:spacing w:val="-6"/>
          <w:sz w:val="28"/>
          <w:szCs w:val="28"/>
          <w:highlight w:val="none"/>
        </w:rPr>
        <w:t>份，甲方执</w:t>
      </w:r>
      <w:r>
        <w:rPr>
          <w:rFonts w:hint="eastAsia" w:ascii="仿宋" w:hAnsi="仿宋" w:eastAsia="仿宋" w:cs="仿宋"/>
          <w:color w:val="auto"/>
          <w:spacing w:val="-6"/>
          <w:sz w:val="28"/>
          <w:szCs w:val="28"/>
          <w:highlight w:val="none"/>
          <w:u w:val="single"/>
        </w:rPr>
        <w:t xml:space="preserve">   </w:t>
      </w:r>
      <w:r>
        <w:rPr>
          <w:rFonts w:hint="eastAsia" w:ascii="仿宋" w:hAnsi="仿宋" w:eastAsia="仿宋" w:cs="仿宋"/>
          <w:color w:val="auto"/>
          <w:spacing w:val="-6"/>
          <w:sz w:val="28"/>
          <w:szCs w:val="28"/>
          <w:highlight w:val="none"/>
        </w:rPr>
        <w:t>份，乙方执</w:t>
      </w:r>
      <w:r>
        <w:rPr>
          <w:rFonts w:hint="eastAsia" w:ascii="仿宋" w:hAnsi="仿宋" w:eastAsia="仿宋" w:cs="仿宋"/>
          <w:color w:val="auto"/>
          <w:spacing w:val="-6"/>
          <w:sz w:val="28"/>
          <w:szCs w:val="28"/>
          <w:highlight w:val="none"/>
          <w:u w:val="single"/>
        </w:rPr>
        <w:t xml:space="preserve">   </w:t>
      </w:r>
      <w:r>
        <w:rPr>
          <w:rFonts w:hint="eastAsia" w:ascii="仿宋" w:hAnsi="仿宋" w:eastAsia="仿宋" w:cs="仿宋"/>
          <w:color w:val="auto"/>
          <w:spacing w:val="-6"/>
          <w:sz w:val="28"/>
          <w:szCs w:val="28"/>
          <w:highlight w:val="none"/>
        </w:rPr>
        <w:t>份，具有同等法律效力。</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14.2</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本合同经甲乙双方签字盖章后生效。</w:t>
      </w:r>
      <w:r>
        <w:rPr>
          <w:rFonts w:hint="eastAsia" w:ascii="仿宋" w:hAnsi="仿宋" w:eastAsia="仿宋" w:cs="仿宋"/>
          <w:color w:val="auto"/>
          <w:sz w:val="28"/>
          <w:szCs w:val="28"/>
          <w:highlight w:val="none"/>
        </w:rPr>
        <w:tab/>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bCs/>
          <w:color w:val="auto"/>
          <w:sz w:val="28"/>
          <w:szCs w:val="28"/>
          <w:highlight w:val="none"/>
        </w:rPr>
        <w:t>（以下无正文）</w:t>
      </w:r>
    </w:p>
    <w:p>
      <w:pPr>
        <w:spacing w:line="520" w:lineRule="exact"/>
        <w:ind w:firstLine="560" w:firstLineChars="200"/>
        <w:rPr>
          <w:rFonts w:ascii="仿宋" w:hAnsi="仿宋" w:eastAsia="仿宋" w:cs="仿宋"/>
          <w:color w:val="auto"/>
          <w:sz w:val="28"/>
          <w:szCs w:val="28"/>
          <w:highlight w:val="none"/>
        </w:rPr>
      </w:pPr>
    </w:p>
    <w:p>
      <w:pPr>
        <w:pStyle w:val="6"/>
        <w:rPr>
          <w:color w:val="auto"/>
          <w:highlight w:val="none"/>
        </w:rPr>
      </w:pPr>
    </w:p>
    <w:p>
      <w:pPr>
        <w:spacing w:line="520" w:lineRule="exact"/>
        <w:ind w:firstLine="560" w:firstLineChars="200"/>
        <w:rPr>
          <w:rFonts w:ascii="仿宋" w:hAnsi="仿宋" w:eastAsia="仿宋" w:cs="仿宋"/>
          <w:bCs/>
          <w:color w:val="auto"/>
          <w:sz w:val="28"/>
          <w:szCs w:val="28"/>
          <w:highlight w:val="none"/>
        </w:rPr>
      </w:pPr>
    </w:p>
    <w:p>
      <w:pPr>
        <w:spacing w:line="520" w:lineRule="exact"/>
        <w:rPr>
          <w:rFonts w:ascii="仿宋" w:hAnsi="仿宋" w:eastAsia="仿宋" w:cs="仿宋"/>
          <w:b/>
          <w:color w:val="auto"/>
          <w:sz w:val="28"/>
          <w:szCs w:val="28"/>
          <w:highlight w:val="none"/>
        </w:rPr>
      </w:pPr>
    </w:p>
    <w:p>
      <w:pPr>
        <w:spacing w:line="520" w:lineRule="exact"/>
        <w:ind w:firstLine="562" w:firstLineChars="200"/>
        <w:rPr>
          <w:rFonts w:ascii="仿宋" w:hAnsi="仿宋" w:eastAsia="仿宋" w:cs="仿宋"/>
          <w:color w:val="auto"/>
          <w:sz w:val="28"/>
          <w:szCs w:val="28"/>
          <w:highlight w:val="none"/>
        </w:rPr>
      </w:pPr>
      <w:r>
        <w:rPr>
          <w:rFonts w:hint="eastAsia" w:ascii="仿宋" w:hAnsi="仿宋" w:eastAsia="仿宋" w:cs="仿宋"/>
          <w:b/>
          <w:color w:val="auto"/>
          <w:sz w:val="28"/>
          <w:szCs w:val="28"/>
          <w:highlight w:val="none"/>
        </w:rPr>
        <w:t>甲方</w:t>
      </w:r>
      <w:r>
        <w:rPr>
          <w:rFonts w:hint="eastAsia" w:ascii="仿宋" w:hAnsi="仿宋" w:eastAsia="仿宋" w:cs="仿宋"/>
          <w:color w:val="auto"/>
          <w:sz w:val="28"/>
          <w:szCs w:val="28"/>
          <w:highlight w:val="none"/>
        </w:rPr>
        <w:t xml:space="preserve">：                        </w:t>
      </w:r>
      <w:r>
        <w:rPr>
          <w:rFonts w:hint="eastAsia" w:ascii="仿宋" w:hAnsi="仿宋" w:eastAsia="仿宋" w:cs="仿宋"/>
          <w:b/>
          <w:color w:val="auto"/>
          <w:sz w:val="28"/>
          <w:szCs w:val="28"/>
          <w:highlight w:val="none"/>
        </w:rPr>
        <w:t>乙方</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 xml:space="preserve">              </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授权代表：                    授权代表：</w:t>
      </w:r>
    </w:p>
    <w:p>
      <w:pPr>
        <w:spacing w:line="520" w:lineRule="exact"/>
        <w:ind w:firstLine="560" w:firstLineChars="200"/>
        <w:rPr>
          <w:rFonts w:hint="eastAsia" w:ascii="仿宋" w:hAnsi="仿宋" w:eastAsia="仿宋" w:cs="仿宋"/>
          <w:color w:val="auto"/>
          <w:sz w:val="28"/>
          <w:szCs w:val="28"/>
          <w:highlight w:val="none"/>
        </w:rPr>
      </w:pPr>
    </w:p>
    <w:p>
      <w:pPr>
        <w:spacing w:line="520" w:lineRule="exact"/>
        <w:ind w:firstLine="560" w:firstLineChars="200"/>
        <w:rPr>
          <w:rFonts w:ascii="仿宋_GB2312" w:hAnsi="仿宋_GB2312" w:eastAsia="仿宋_GB2312" w:cs="仿宋_GB2312"/>
          <w:color w:val="auto"/>
          <w:sz w:val="32"/>
          <w:szCs w:val="32"/>
          <w:highlight w:val="none"/>
        </w:rPr>
      </w:pPr>
      <w:r>
        <w:rPr>
          <w:rFonts w:hint="eastAsia" w:ascii="仿宋" w:hAnsi="仿宋" w:eastAsia="仿宋" w:cs="仿宋"/>
          <w:color w:val="auto"/>
          <w:sz w:val="28"/>
          <w:szCs w:val="28"/>
          <w:highlight w:val="none"/>
        </w:rPr>
        <w:t>时间：    年   月  日         时间：   年   月   日</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23"/>
        <w:rPr>
          <w:rFonts w:hint="eastAsia"/>
          <w:highlight w:val="none"/>
        </w:rPr>
      </w:pPr>
      <w:r>
        <w:rPr>
          <w:rFonts w:hint="eastAsia" w:ascii="宋体" w:hAnsi="宋体" w:cs="宋体"/>
          <w:sz w:val="24"/>
          <w:szCs w:val="24"/>
          <w:highlight w:val="none"/>
        </w:rPr>
        <w:br w:type="page"/>
      </w:r>
    </w:p>
    <w:p>
      <w:pPr>
        <w:pStyle w:val="23"/>
        <w:rPr>
          <w:rFonts w:hint="eastAsia"/>
          <w:highlight w:val="none"/>
        </w:rPr>
      </w:pPr>
      <w:bookmarkStart w:id="152" w:name="_Toc16431"/>
      <w:bookmarkStart w:id="153" w:name="_Toc701"/>
      <w:bookmarkStart w:id="154" w:name="_Toc22945"/>
      <w:r>
        <w:rPr>
          <w:rFonts w:hint="eastAsia"/>
          <w:highlight w:val="none"/>
        </w:rPr>
        <w:t>第五章  技术标准和要求</w:t>
      </w:r>
      <w:bookmarkEnd w:id="152"/>
      <w:bookmarkEnd w:id="153"/>
      <w:bookmarkEnd w:id="154"/>
    </w:p>
    <w:p>
      <w:pPr>
        <w:adjustRightInd w:val="0"/>
        <w:snapToGrid w:val="0"/>
        <w:spacing w:line="400" w:lineRule="exact"/>
        <w:ind w:firstLine="422" w:firstLineChars="200"/>
        <w:jc w:val="left"/>
        <w:rPr>
          <w:rFonts w:hint="eastAsia" w:ascii="宋体" w:hAnsi="宋体" w:cs="宋体"/>
          <w:b/>
          <w:szCs w:val="21"/>
          <w:highlight w:val="none"/>
        </w:rPr>
      </w:pPr>
      <w:r>
        <w:rPr>
          <w:rFonts w:hint="eastAsia" w:ascii="宋体" w:hAnsi="宋体" w:cs="宋体"/>
          <w:b/>
          <w:szCs w:val="21"/>
          <w:highlight w:val="none"/>
        </w:rPr>
        <w:t>1. 招标项目概况</w:t>
      </w:r>
    </w:p>
    <w:p>
      <w:pPr>
        <w:adjustRightInd w:val="0"/>
        <w:snapToGrid w:val="0"/>
        <w:spacing w:line="400" w:lineRule="exact"/>
        <w:ind w:firstLine="420" w:firstLineChars="200"/>
        <w:jc w:val="left"/>
        <w:rPr>
          <w:rFonts w:hint="eastAsia" w:ascii="宋体" w:hAnsi="宋体" w:cs="宋体"/>
          <w:bCs/>
          <w:szCs w:val="21"/>
          <w:highlight w:val="none"/>
          <w:lang w:eastAsia="zh-CN"/>
        </w:rPr>
      </w:pPr>
      <w:r>
        <w:rPr>
          <w:rFonts w:hint="eastAsia" w:ascii="宋体" w:hAnsi="宋体" w:cs="宋体"/>
          <w:szCs w:val="21"/>
          <w:highlight w:val="none"/>
        </w:rPr>
        <w:t>1.1 项目名称：重</w:t>
      </w:r>
      <w:r>
        <w:rPr>
          <w:rFonts w:hint="eastAsia" w:ascii="宋体" w:hAnsi="宋体" w:cs="宋体"/>
          <w:bCs/>
          <w:szCs w:val="21"/>
          <w:highlight w:val="none"/>
        </w:rPr>
        <w:t>庆新机场</w:t>
      </w:r>
      <w:r>
        <w:rPr>
          <w:rFonts w:hint="eastAsia" w:ascii="宋体" w:hAnsi="宋体" w:cs="宋体"/>
          <w:bCs/>
          <w:szCs w:val="21"/>
          <w:highlight w:val="none"/>
          <w:lang w:eastAsia="zh-CN"/>
        </w:rPr>
        <w:t>防洪专项研究</w:t>
      </w:r>
    </w:p>
    <w:p>
      <w:pPr>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1.2 项目地址：见招标公告。</w:t>
      </w:r>
    </w:p>
    <w:p>
      <w:pPr>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1.3 项目概况：见招标公告。</w:t>
      </w:r>
    </w:p>
    <w:p>
      <w:pPr>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1.4 招标范围：见招标公告。</w:t>
      </w:r>
    </w:p>
    <w:p>
      <w:pPr>
        <w:adjustRightInd w:val="0"/>
        <w:snapToGrid w:val="0"/>
        <w:spacing w:line="400" w:lineRule="exact"/>
        <w:ind w:firstLine="422" w:firstLineChars="200"/>
        <w:jc w:val="left"/>
        <w:rPr>
          <w:rFonts w:hint="eastAsia" w:ascii="宋体" w:hAnsi="宋体" w:cs="宋体"/>
          <w:b/>
          <w:szCs w:val="21"/>
          <w:highlight w:val="none"/>
        </w:rPr>
      </w:pPr>
      <w:r>
        <w:rPr>
          <w:rFonts w:hint="eastAsia" w:ascii="宋体" w:hAnsi="宋体" w:cs="宋体"/>
          <w:b/>
          <w:szCs w:val="21"/>
          <w:highlight w:val="none"/>
        </w:rPr>
        <w:t>2. 技术要求</w:t>
      </w:r>
    </w:p>
    <w:p>
      <w:pPr>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2.1 采用的技术标准：国家、行业、地方相关法律法规要求。</w:t>
      </w:r>
    </w:p>
    <w:p>
      <w:pPr>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2.2 工期安排：见招标公告。</w:t>
      </w:r>
    </w:p>
    <w:p>
      <w:pPr>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2.3 质量要求：</w:t>
      </w:r>
    </w:p>
    <w:p>
      <w:pPr>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2.3.1 重庆新机场</w:t>
      </w:r>
      <w:r>
        <w:rPr>
          <w:rFonts w:hint="eastAsia" w:ascii="宋体" w:hAnsi="宋体" w:cs="宋体"/>
          <w:szCs w:val="21"/>
          <w:highlight w:val="none"/>
          <w:lang w:eastAsia="zh-CN"/>
        </w:rPr>
        <w:t>防洪专项研究</w:t>
      </w:r>
      <w:r>
        <w:rPr>
          <w:rFonts w:hint="eastAsia" w:ascii="宋体" w:hAnsi="宋体" w:cs="宋体"/>
          <w:szCs w:val="21"/>
          <w:highlight w:val="none"/>
        </w:rPr>
        <w:t>过程应符合《中华人民共和国防洪法》《防洪标准》《水利水电工程设计洪水计算规范》</w:t>
      </w:r>
      <w:r>
        <w:rPr>
          <w:rFonts w:hint="eastAsia" w:ascii="宋体" w:hAnsi="宋体" w:cs="宋体"/>
          <w:szCs w:val="21"/>
          <w:highlight w:val="none"/>
          <w:lang w:eastAsia="zh-CN"/>
        </w:rPr>
        <w:t>等法律法规和行业规范。</w:t>
      </w:r>
      <w:r>
        <w:rPr>
          <w:rFonts w:hint="eastAsia" w:ascii="宋体" w:hAnsi="宋体" w:cs="宋体"/>
          <w:szCs w:val="21"/>
          <w:highlight w:val="none"/>
        </w:rPr>
        <w:t>规划应</w:t>
      </w:r>
      <w:r>
        <w:rPr>
          <w:rFonts w:hint="eastAsia" w:ascii="宋体" w:hAnsi="宋体" w:cs="宋体"/>
          <w:szCs w:val="21"/>
          <w:highlight w:val="none"/>
          <w:u w:val="none"/>
        </w:rPr>
        <w:t>区分</w:t>
      </w:r>
      <w:r>
        <w:rPr>
          <w:rFonts w:hint="eastAsia" w:ascii="宋体" w:hAnsi="宋体" w:cs="宋体"/>
          <w:szCs w:val="21"/>
          <w:highlight w:val="none"/>
          <w:u w:val="single"/>
        </w:rPr>
        <w:t>重庆新机场近期和远期工程</w:t>
      </w:r>
      <w:r>
        <w:rPr>
          <w:rFonts w:hint="eastAsia" w:ascii="宋体" w:hAnsi="宋体" w:cs="宋体"/>
          <w:szCs w:val="21"/>
          <w:highlight w:val="none"/>
          <w:lang w:eastAsia="zh-CN"/>
        </w:rPr>
        <w:t>。</w:t>
      </w:r>
      <w:r>
        <w:rPr>
          <w:rFonts w:hint="eastAsia" w:ascii="宋体" w:hAnsi="宋体" w:cs="宋体"/>
          <w:szCs w:val="21"/>
          <w:highlight w:val="none"/>
        </w:rPr>
        <w:t>范围应覆盖</w:t>
      </w:r>
      <w:r>
        <w:rPr>
          <w:rFonts w:hint="eastAsia" w:ascii="宋体" w:hAnsi="宋体" w:cs="宋体"/>
          <w:szCs w:val="21"/>
          <w:highlight w:val="none"/>
          <w:u w:val="single"/>
        </w:rPr>
        <w:t>重庆新机场</w:t>
      </w:r>
      <w:r>
        <w:rPr>
          <w:rFonts w:hint="eastAsia" w:hAnsi="宋体" w:cs="宋体"/>
          <w:szCs w:val="21"/>
          <w:highlight w:val="none"/>
          <w:u w:val="single"/>
          <w:lang w:eastAsia="zh-CN"/>
        </w:rPr>
        <w:t>近期和远期范围</w:t>
      </w:r>
      <w:r>
        <w:rPr>
          <w:rFonts w:hint="eastAsia" w:ascii="宋体" w:hAnsi="宋体" w:cs="宋体"/>
          <w:szCs w:val="21"/>
          <w:highlight w:val="none"/>
          <w:u w:val="single"/>
          <w:lang w:eastAsia="zh-CN"/>
        </w:rPr>
        <w:t>，</w:t>
      </w:r>
      <w:r>
        <w:rPr>
          <w:rFonts w:hint="eastAsia" w:ascii="宋体" w:hAnsi="宋体" w:cs="宋体"/>
          <w:szCs w:val="21"/>
          <w:highlight w:val="none"/>
          <w:u w:val="single"/>
          <w:lang w:val="en-US" w:eastAsia="zh-CN"/>
        </w:rPr>
        <w:t>以及</w:t>
      </w:r>
      <w:r>
        <w:rPr>
          <w:rFonts w:hint="eastAsia" w:ascii="宋体" w:hAnsi="宋体" w:cs="宋体"/>
          <w:szCs w:val="21"/>
          <w:highlight w:val="none"/>
          <w:u w:val="single"/>
        </w:rPr>
        <w:t>工程可能影响的场区外流域或区域</w:t>
      </w:r>
      <w:r>
        <w:rPr>
          <w:rFonts w:hint="eastAsia" w:ascii="宋体" w:hAnsi="宋体" w:cs="宋体"/>
          <w:szCs w:val="21"/>
          <w:highlight w:val="none"/>
        </w:rPr>
        <w:t>，其中近期规划应基于远期规划的研究成果开展。内容和深度须满足行业审批要求和设计、建设需要</w:t>
      </w:r>
      <w:r>
        <w:rPr>
          <w:rFonts w:hint="eastAsia" w:ascii="宋体" w:hAnsi="宋体" w:cs="宋体"/>
          <w:szCs w:val="21"/>
          <w:highlight w:val="none"/>
          <w:lang w:eastAsia="zh-CN"/>
        </w:rPr>
        <w:t>，以及</w:t>
      </w:r>
      <w:r>
        <w:rPr>
          <w:rFonts w:hint="eastAsia" w:ascii="宋体" w:hAnsi="宋体" w:cs="宋体"/>
          <w:szCs w:val="21"/>
          <w:highlight w:val="none"/>
          <w:u w:val="single"/>
        </w:rPr>
        <w:t>新机场预可研、可研、总规报告编制</w:t>
      </w:r>
      <w:r>
        <w:rPr>
          <w:rFonts w:hint="eastAsia" w:ascii="宋体" w:hAnsi="宋体" w:cs="宋体"/>
          <w:szCs w:val="21"/>
          <w:highlight w:val="none"/>
          <w:u w:val="single"/>
          <w:lang w:eastAsia="zh-CN"/>
        </w:rPr>
        <w:t>、审批</w:t>
      </w:r>
      <w:r>
        <w:rPr>
          <w:rFonts w:hint="eastAsia" w:ascii="宋体" w:hAnsi="宋体" w:cs="宋体"/>
          <w:szCs w:val="21"/>
          <w:highlight w:val="none"/>
          <w:u w:val="single"/>
        </w:rPr>
        <w:t>和</w:t>
      </w:r>
      <w:r>
        <w:rPr>
          <w:rFonts w:hint="eastAsia" w:ascii="宋体" w:hAnsi="宋体" w:cs="宋体"/>
          <w:szCs w:val="21"/>
          <w:highlight w:val="none"/>
          <w:u w:val="single"/>
          <w:lang w:eastAsia="zh-CN"/>
        </w:rPr>
        <w:t>综合交通枢纽工程</w:t>
      </w:r>
      <w:r>
        <w:rPr>
          <w:rFonts w:hint="eastAsia" w:ascii="宋体" w:hAnsi="宋体" w:cs="宋体"/>
          <w:szCs w:val="21"/>
          <w:highlight w:val="none"/>
          <w:u w:val="single"/>
        </w:rPr>
        <w:t>立项（代可研）报告编制需求</w:t>
      </w:r>
      <w:r>
        <w:rPr>
          <w:rFonts w:hint="eastAsia" w:ascii="宋体" w:hAnsi="宋体" w:cs="宋体"/>
          <w:szCs w:val="21"/>
          <w:highlight w:val="none"/>
        </w:rPr>
        <w:t>，包括但不限于：</w:t>
      </w:r>
    </w:p>
    <w:p>
      <w:pPr>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（1）水文分析计算：</w:t>
      </w:r>
    </w:p>
    <w:p>
      <w:pPr>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① 实地调查水系现状，梳理水系治理防洪存在的主要问题。调查规划范围内已有涉河建筑物，为本次规划提供水文分析的边界条件，统计规划范围内涉河建筑物的有关内容。</w:t>
      </w:r>
    </w:p>
    <w:p>
      <w:pPr>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② 水文分析计算。搜集最新气象暴雨资料，根据流域情况，开展规划区域干支流水系不同河段设计洪水成果、洪水水面线；对规划范围内全河段进行水力要素分析、壅水分析计算；</w:t>
      </w:r>
    </w:p>
    <w:p>
      <w:pPr>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（2）规划总体布局：根据河流洪灾类型、自然条件、结构形态、机场用地布局、技术经济条件及流域防洪规划等，合理确定总体布局。</w:t>
      </w:r>
    </w:p>
    <w:p>
      <w:pPr>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（3）涉河方案设计：</w:t>
      </w:r>
    </w:p>
    <w:p>
      <w:pPr>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① 根据河道地形、水文条件，提出规划范围内河道制导线、河道治理方案（堤防类型、坡比、堤身型式）、水系改造方案、不同河段处置方式等，明确机场</w:t>
      </w:r>
      <w:r>
        <w:rPr>
          <w:rFonts w:hint="eastAsia" w:ascii="宋体" w:hAnsi="宋体" w:cs="宋体"/>
          <w:szCs w:val="21"/>
          <w:highlight w:val="none"/>
          <w:lang w:eastAsia="zh-CN"/>
        </w:rPr>
        <w:t>近期和远期</w:t>
      </w:r>
      <w:r>
        <w:rPr>
          <w:rFonts w:hint="eastAsia" w:ascii="宋体" w:hAnsi="宋体" w:cs="宋体"/>
          <w:szCs w:val="21"/>
          <w:highlight w:val="none"/>
        </w:rPr>
        <w:t>工程建设后如何排水、如何防洪等实际问题，作为初步成果。与重庆新机场预可研、可研、总规报告编制和</w:t>
      </w:r>
      <w:r>
        <w:rPr>
          <w:rFonts w:hint="eastAsia" w:ascii="宋体" w:hAnsi="宋体" w:cs="宋体"/>
          <w:szCs w:val="21"/>
          <w:highlight w:val="none"/>
          <w:lang w:eastAsia="zh-CN"/>
        </w:rPr>
        <w:t>综合交通枢纽工程</w:t>
      </w:r>
      <w:r>
        <w:rPr>
          <w:rFonts w:hint="eastAsia" w:ascii="宋体" w:hAnsi="宋体" w:cs="宋体"/>
          <w:szCs w:val="21"/>
          <w:highlight w:val="none"/>
        </w:rPr>
        <w:t>立项（代可研）报告编制进行协调配合，在保证行洪安全、河势稳定、河道岸线有效管理的基础上，确定初步治理方案；</w:t>
      </w:r>
    </w:p>
    <w:p>
      <w:pPr>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② 初步分析河道地质条件，对治理方案选定的堤防型式、坡比设置提供支撑；</w:t>
      </w:r>
    </w:p>
    <w:p>
      <w:pPr>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③ 根据推荐的制导线方案，确定整个区域不同河段制导线控制坐标和高程控制要求；</w:t>
      </w:r>
    </w:p>
    <w:p>
      <w:pPr>
        <w:spacing w:line="400" w:lineRule="exact"/>
        <w:ind w:firstLine="420" w:firstLineChars="200"/>
        <w:jc w:val="left"/>
        <w:rPr>
          <w:rFonts w:hint="eastAsia"/>
          <w:highlight w:val="none"/>
        </w:rPr>
      </w:pPr>
      <w:r>
        <w:rPr>
          <w:rFonts w:hint="eastAsia" w:ascii="宋体" w:hAnsi="宋体" w:cs="宋体"/>
          <w:szCs w:val="21"/>
          <w:highlight w:val="none"/>
        </w:rPr>
        <w:t>④ 平面、典型剖面图纸绘制。</w:t>
      </w:r>
    </w:p>
    <w:p>
      <w:pPr>
        <w:adjustRightInd w:val="0"/>
        <w:snapToGrid w:val="0"/>
        <w:spacing w:line="400" w:lineRule="exact"/>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4</w:t>
      </w:r>
      <w:r>
        <w:rPr>
          <w:rFonts w:hint="eastAsia" w:ascii="宋体" w:hAnsi="宋体" w:cs="宋体"/>
          <w:szCs w:val="21"/>
          <w:highlight w:val="none"/>
          <w:lang w:eastAsia="zh-CN"/>
        </w:rPr>
        <w:t>）根据</w:t>
      </w:r>
      <w:r>
        <w:rPr>
          <w:rFonts w:hint="eastAsia" w:ascii="宋体" w:hAnsi="宋体" w:cs="宋体"/>
          <w:szCs w:val="21"/>
          <w:highlight w:val="none"/>
        </w:rPr>
        <w:t>重庆新机场预可研、可研、总规报告编制和</w:t>
      </w:r>
      <w:r>
        <w:rPr>
          <w:rFonts w:hint="eastAsia" w:ascii="宋体" w:hAnsi="宋体" w:cs="宋体"/>
          <w:szCs w:val="21"/>
          <w:highlight w:val="none"/>
          <w:lang w:eastAsia="zh-CN"/>
        </w:rPr>
        <w:t>综合交通枢纽工程</w:t>
      </w:r>
      <w:r>
        <w:rPr>
          <w:rFonts w:hint="eastAsia" w:ascii="宋体" w:hAnsi="宋体" w:cs="宋体"/>
          <w:szCs w:val="21"/>
          <w:highlight w:val="none"/>
        </w:rPr>
        <w:t>立项（代可研）报告编制</w:t>
      </w:r>
      <w:r>
        <w:rPr>
          <w:rFonts w:hint="eastAsia" w:hAnsi="宋体" w:cs="宋体"/>
          <w:color w:val="auto"/>
          <w:sz w:val="21"/>
          <w:szCs w:val="21"/>
          <w:highlight w:val="none"/>
          <w:u w:val="none"/>
          <w:lang w:eastAsia="zh-CN"/>
        </w:rPr>
        <w:t>需求，</w:t>
      </w:r>
      <w:r>
        <w:rPr>
          <w:rFonts w:hint="eastAsia" w:hAnsi="宋体" w:eastAsia="宋体" w:cs="宋体"/>
          <w:color w:val="auto"/>
          <w:sz w:val="21"/>
          <w:szCs w:val="21"/>
          <w:highlight w:val="none"/>
          <w:u w:val="none"/>
        </w:rPr>
        <w:t>其他需要配合研究的内容，</w:t>
      </w:r>
      <w:r>
        <w:rPr>
          <w:rFonts w:hint="eastAsia" w:hAnsi="宋体" w:eastAsia="宋体" w:cs="宋体"/>
          <w:color w:val="auto"/>
          <w:sz w:val="21"/>
          <w:szCs w:val="21"/>
          <w:highlight w:val="none"/>
          <w:u w:val="none"/>
          <w:lang w:eastAsia="zh-CN"/>
        </w:rPr>
        <w:t>如：</w:t>
      </w:r>
      <w:r>
        <w:rPr>
          <w:rFonts w:hint="eastAsia" w:hAnsi="宋体" w:eastAsia="宋体" w:cs="宋体"/>
          <w:color w:val="auto"/>
          <w:sz w:val="21"/>
          <w:szCs w:val="21"/>
          <w:highlight w:val="none"/>
          <w:u w:val="none"/>
        </w:rPr>
        <w:t>场区标高</w:t>
      </w:r>
      <w:r>
        <w:rPr>
          <w:rFonts w:hint="eastAsia" w:hAnsi="宋体" w:cs="宋体"/>
          <w:color w:val="auto"/>
          <w:sz w:val="21"/>
          <w:szCs w:val="21"/>
          <w:highlight w:val="none"/>
          <w:u w:val="none"/>
          <w:lang w:eastAsia="zh-CN"/>
        </w:rPr>
        <w:t>，</w:t>
      </w:r>
      <w:r>
        <w:rPr>
          <w:rFonts w:hint="eastAsia" w:hAnsi="宋体" w:cs="宋体"/>
          <w:szCs w:val="21"/>
          <w:highlight w:val="none"/>
          <w:u w:val="none"/>
        </w:rPr>
        <w:t>机场</w:t>
      </w:r>
      <w:r>
        <w:rPr>
          <w:rFonts w:hint="eastAsia" w:hAnsi="宋体" w:cs="宋体"/>
          <w:szCs w:val="21"/>
          <w:highlight w:val="none"/>
          <w:u w:val="none"/>
          <w:lang w:eastAsia="zh-CN"/>
        </w:rPr>
        <w:t>近期和远期</w:t>
      </w:r>
      <w:r>
        <w:rPr>
          <w:rFonts w:hint="eastAsia" w:hAnsi="宋体" w:eastAsia="宋体" w:cs="宋体"/>
          <w:color w:val="auto"/>
          <w:sz w:val="21"/>
          <w:szCs w:val="21"/>
          <w:highlight w:val="none"/>
          <w:u w:val="none"/>
        </w:rPr>
        <w:t>防洪措施</w:t>
      </w:r>
      <w:r>
        <w:rPr>
          <w:rFonts w:hint="eastAsia" w:hAnsi="宋体" w:cs="宋体"/>
          <w:color w:val="auto"/>
          <w:sz w:val="21"/>
          <w:szCs w:val="21"/>
          <w:highlight w:val="none"/>
          <w:u w:val="none"/>
          <w:lang w:eastAsia="zh-CN"/>
        </w:rPr>
        <w:t>，</w:t>
      </w:r>
      <w:r>
        <w:rPr>
          <w:rFonts w:hint="eastAsia" w:hAnsi="宋体" w:eastAsia="宋体" w:cs="宋体"/>
          <w:color w:val="auto"/>
          <w:sz w:val="21"/>
          <w:szCs w:val="21"/>
          <w:highlight w:val="none"/>
          <w:u w:val="none"/>
        </w:rPr>
        <w:t>调蓄水池规划</w:t>
      </w:r>
      <w:r>
        <w:rPr>
          <w:rFonts w:hint="eastAsia" w:hAnsi="宋体" w:cs="宋体"/>
          <w:color w:val="auto"/>
          <w:sz w:val="21"/>
          <w:szCs w:val="21"/>
          <w:highlight w:val="none"/>
          <w:u w:val="none"/>
          <w:lang w:eastAsia="zh-CN"/>
        </w:rPr>
        <w:t>，</w:t>
      </w:r>
      <w:r>
        <w:rPr>
          <w:rFonts w:hint="eastAsia" w:hAnsi="宋体" w:cs="宋体"/>
          <w:szCs w:val="21"/>
          <w:highlight w:val="none"/>
          <w:u w:val="none"/>
        </w:rPr>
        <w:t>机场</w:t>
      </w:r>
      <w:r>
        <w:rPr>
          <w:rFonts w:hint="eastAsia" w:hAnsi="宋体" w:cs="宋体"/>
          <w:szCs w:val="21"/>
          <w:highlight w:val="none"/>
          <w:u w:val="none"/>
          <w:lang w:eastAsia="zh-CN"/>
        </w:rPr>
        <w:t>近期和远期</w:t>
      </w:r>
      <w:r>
        <w:rPr>
          <w:rFonts w:hint="eastAsia" w:hAnsi="宋体" w:cs="宋体"/>
          <w:szCs w:val="21"/>
          <w:highlight w:val="none"/>
          <w:u w:val="none"/>
        </w:rPr>
        <w:t>规划范围的外排水方案</w:t>
      </w:r>
      <w:r>
        <w:rPr>
          <w:rFonts w:hint="eastAsia" w:hAnsi="宋体" w:eastAsia="宋体" w:cs="宋体"/>
          <w:color w:val="auto"/>
          <w:sz w:val="21"/>
          <w:szCs w:val="21"/>
          <w:highlight w:val="none"/>
          <w:u w:val="none"/>
        </w:rPr>
        <w:t>等</w:t>
      </w:r>
      <w:r>
        <w:rPr>
          <w:rFonts w:hint="eastAsia" w:hAnsi="宋体" w:cs="宋体"/>
          <w:color w:val="auto"/>
          <w:sz w:val="21"/>
          <w:szCs w:val="21"/>
          <w:highlight w:val="none"/>
          <w:u w:val="none"/>
          <w:lang w:eastAsia="zh-CN"/>
        </w:rPr>
        <w:t>。</w:t>
      </w:r>
    </w:p>
    <w:p>
      <w:pPr>
        <w:adjustRightInd w:val="0"/>
        <w:snapToGrid w:val="0"/>
        <w:spacing w:line="400" w:lineRule="exact"/>
        <w:ind w:firstLine="420" w:firstLineChars="200"/>
        <w:jc w:val="left"/>
        <w:rPr>
          <w:highlight w:val="none"/>
        </w:rPr>
      </w:pPr>
      <w:r>
        <w:rPr>
          <w:rFonts w:hint="eastAsia" w:ascii="宋体" w:hAnsi="宋体" w:cs="宋体"/>
          <w:szCs w:val="21"/>
          <w:highlight w:val="none"/>
        </w:rPr>
        <w:t>（</w:t>
      </w:r>
      <w:r>
        <w:rPr>
          <w:rFonts w:hint="eastAsia" w:ascii="宋体" w:hAnsi="宋体" w:cs="宋体"/>
          <w:szCs w:val="21"/>
          <w:highlight w:val="none"/>
          <w:lang w:val="en-US" w:eastAsia="zh-CN"/>
        </w:rPr>
        <w:t>5</w:t>
      </w:r>
      <w:r>
        <w:rPr>
          <w:rFonts w:hint="eastAsia" w:ascii="宋体" w:hAnsi="宋体" w:cs="宋体"/>
          <w:szCs w:val="21"/>
          <w:highlight w:val="none"/>
        </w:rPr>
        <w:t>）按照采购人要求及法律法规规定，结合重庆新机场预可研、可研、总规报告编制</w:t>
      </w:r>
      <w:r>
        <w:rPr>
          <w:rFonts w:hint="eastAsia" w:ascii="宋体" w:hAnsi="宋体" w:cs="宋体"/>
          <w:szCs w:val="21"/>
          <w:highlight w:val="none"/>
          <w:lang w:eastAsia="zh-CN"/>
        </w:rPr>
        <w:t>、</w:t>
      </w:r>
      <w:r>
        <w:rPr>
          <w:rFonts w:hint="eastAsia" w:ascii="宋体" w:hAnsi="宋体" w:cs="宋体"/>
          <w:szCs w:val="21"/>
          <w:highlight w:val="none"/>
        </w:rPr>
        <w:t>审批和</w:t>
      </w:r>
      <w:r>
        <w:rPr>
          <w:rFonts w:hint="eastAsia" w:ascii="宋体" w:hAnsi="宋体" w:cs="宋体"/>
          <w:szCs w:val="21"/>
          <w:highlight w:val="none"/>
          <w:lang w:eastAsia="zh-CN"/>
        </w:rPr>
        <w:t>综合交通枢纽工程</w:t>
      </w:r>
      <w:r>
        <w:rPr>
          <w:rFonts w:hint="eastAsia" w:ascii="宋体" w:hAnsi="宋体" w:cs="宋体"/>
          <w:szCs w:val="21"/>
          <w:highlight w:val="none"/>
        </w:rPr>
        <w:t>立项（代可研）报告编制需求，完成</w:t>
      </w:r>
      <w:r>
        <w:rPr>
          <w:rFonts w:hint="eastAsia" w:ascii="宋体" w:hAnsi="宋体" w:cs="宋体"/>
          <w:szCs w:val="21"/>
          <w:highlight w:val="none"/>
          <w:lang w:eastAsia="zh-CN"/>
        </w:rPr>
        <w:t>防洪专项研究</w:t>
      </w:r>
      <w:r>
        <w:rPr>
          <w:rFonts w:hint="eastAsia" w:ascii="宋体" w:hAnsi="宋体" w:cs="宋体"/>
          <w:szCs w:val="21"/>
          <w:highlight w:val="none"/>
        </w:rPr>
        <w:t>报告，经采购</w:t>
      </w:r>
      <w:r>
        <w:rPr>
          <w:rFonts w:hint="eastAsia" w:ascii="宋体" w:hAnsi="宋体" w:cs="宋体"/>
          <w:szCs w:val="21"/>
          <w:highlight w:val="none"/>
          <w:u w:val="none"/>
        </w:rPr>
        <w:t>人审核后，</w:t>
      </w:r>
      <w:r>
        <w:rPr>
          <w:rFonts w:hint="eastAsia" w:ascii="宋体" w:hAnsi="宋体" w:cs="宋体"/>
          <w:szCs w:val="21"/>
          <w:highlight w:val="none"/>
          <w:u w:val="none"/>
          <w:lang w:eastAsia="zh-CN"/>
        </w:rPr>
        <w:t>经</w:t>
      </w:r>
      <w:r>
        <w:rPr>
          <w:rFonts w:hint="eastAsia" w:hAnsi="宋体" w:eastAsia="宋体" w:cs="宋体"/>
          <w:color w:val="auto"/>
          <w:sz w:val="21"/>
          <w:szCs w:val="21"/>
          <w:highlight w:val="none"/>
          <w:u w:val="none"/>
          <w:lang w:eastAsia="zh-CN"/>
        </w:rPr>
        <w:t>行业</w:t>
      </w:r>
      <w:r>
        <w:rPr>
          <w:rFonts w:hint="eastAsia" w:hAnsi="宋体" w:cs="宋体"/>
          <w:color w:val="auto"/>
          <w:sz w:val="21"/>
          <w:szCs w:val="21"/>
          <w:highlight w:val="none"/>
          <w:u w:val="none"/>
          <w:lang w:eastAsia="zh-CN"/>
        </w:rPr>
        <w:t>内专家评审通过</w:t>
      </w:r>
      <w:r>
        <w:rPr>
          <w:rFonts w:hint="eastAsia" w:ascii="宋体" w:hAnsi="宋体" w:cs="宋体"/>
          <w:szCs w:val="21"/>
          <w:highlight w:val="none"/>
          <w:u w:val="none"/>
        </w:rPr>
        <w:t>，同时配合完成与本项目相关的后续支持服务</w:t>
      </w:r>
      <w:r>
        <w:rPr>
          <w:rFonts w:hint="eastAsia" w:ascii="宋体" w:hAnsi="宋体" w:cs="宋体"/>
          <w:szCs w:val="21"/>
          <w:highlight w:val="none"/>
          <w:u w:val="none"/>
          <w:lang w:eastAsia="zh-CN"/>
        </w:rPr>
        <w:t>，包括但不限于为重庆新机场</w:t>
      </w:r>
      <w:r>
        <w:rPr>
          <w:rFonts w:hint="eastAsia" w:hAnsi="宋体" w:cs="宋体"/>
          <w:szCs w:val="21"/>
          <w:highlight w:val="none"/>
          <w:u w:val="none"/>
        </w:rPr>
        <w:t>预可研、可研、总规报告审批</w:t>
      </w:r>
      <w:r>
        <w:rPr>
          <w:rFonts w:hint="eastAsia" w:hAnsi="宋体" w:cs="宋体"/>
          <w:szCs w:val="21"/>
          <w:highlight w:val="none"/>
          <w:u w:val="none"/>
          <w:lang w:eastAsia="zh-CN"/>
        </w:rPr>
        <w:t>和</w:t>
      </w:r>
      <w:r>
        <w:rPr>
          <w:rFonts w:hint="eastAsia" w:ascii="宋体" w:hAnsi="宋体" w:cs="宋体"/>
          <w:szCs w:val="21"/>
          <w:highlight w:val="none"/>
          <w:u w:val="none"/>
          <w:lang w:eastAsia="zh-CN"/>
        </w:rPr>
        <w:t>后续洪水影响评价评审通过提供技术支持，根据招标人的合理要求免费</w:t>
      </w:r>
      <w:r>
        <w:rPr>
          <w:rFonts w:hint="eastAsia" w:ascii="宋体" w:hAnsi="宋体" w:cs="宋体"/>
          <w:szCs w:val="21"/>
          <w:highlight w:val="none"/>
          <w:lang w:eastAsia="zh-CN"/>
        </w:rPr>
        <w:t>进行相关汇报及成果更新、提出建议等。</w:t>
      </w:r>
    </w:p>
    <w:p>
      <w:pPr>
        <w:adjustRightInd w:val="0"/>
        <w:snapToGrid w:val="0"/>
        <w:spacing w:line="400" w:lineRule="exact"/>
        <w:ind w:firstLine="422" w:firstLineChars="200"/>
        <w:jc w:val="left"/>
        <w:rPr>
          <w:rFonts w:hint="eastAsia" w:ascii="宋体" w:hAnsi="宋体" w:cs="宋体"/>
          <w:b/>
          <w:szCs w:val="21"/>
          <w:highlight w:val="none"/>
        </w:rPr>
      </w:pPr>
      <w:r>
        <w:rPr>
          <w:rFonts w:hint="eastAsia" w:ascii="宋体" w:hAnsi="宋体" w:cs="宋体"/>
          <w:b/>
          <w:szCs w:val="21"/>
          <w:highlight w:val="none"/>
        </w:rPr>
        <w:t>3. 成果文件</w:t>
      </w:r>
    </w:p>
    <w:p>
      <w:pPr>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3.1</w:t>
      </w:r>
      <w:r>
        <w:rPr>
          <w:rFonts w:hint="eastAsia" w:ascii="宋体" w:hAnsi="宋体" w:cs="宋体"/>
          <w:szCs w:val="21"/>
          <w:highlight w:val="none"/>
          <w:lang w:val="en-US" w:eastAsia="zh-CN"/>
        </w:rPr>
        <w:t xml:space="preserve"> </w:t>
      </w:r>
      <w:r>
        <w:rPr>
          <w:rFonts w:hint="eastAsia" w:ascii="宋体" w:hAnsi="宋体" w:cs="宋体"/>
          <w:szCs w:val="21"/>
          <w:highlight w:val="none"/>
        </w:rPr>
        <w:t>成果质量</w:t>
      </w:r>
    </w:p>
    <w:p>
      <w:pPr>
        <w:adjustRightInd w:val="0"/>
        <w:snapToGrid w:val="0"/>
        <w:spacing w:line="400" w:lineRule="exact"/>
        <w:ind w:firstLine="420" w:firstLineChars="200"/>
        <w:jc w:val="left"/>
        <w:rPr>
          <w:rFonts w:hint="eastAsia"/>
          <w:highlight w:val="none"/>
        </w:rPr>
      </w:pPr>
      <w:r>
        <w:rPr>
          <w:rFonts w:hint="eastAsia" w:ascii="宋体" w:hAnsi="宋体" w:cs="宋体"/>
          <w:szCs w:val="21"/>
          <w:highlight w:val="none"/>
        </w:rPr>
        <w:t>本项目成果应全面、概括地反映重庆新机场</w:t>
      </w:r>
      <w:r>
        <w:rPr>
          <w:rFonts w:hint="eastAsia" w:ascii="宋体" w:hAnsi="宋体" w:cs="宋体"/>
          <w:szCs w:val="21"/>
          <w:highlight w:val="none"/>
          <w:lang w:eastAsia="zh-CN"/>
        </w:rPr>
        <w:t>防洪专项研究</w:t>
      </w:r>
      <w:r>
        <w:rPr>
          <w:rFonts w:hint="eastAsia" w:ascii="宋体" w:hAnsi="宋体" w:cs="宋体"/>
          <w:szCs w:val="21"/>
          <w:highlight w:val="none"/>
        </w:rPr>
        <w:t>的全部工作，文字应简洁、准确，并尽量采用图表和照片，以使提出的资料清楚，论点明确，利于阅读和审查。原始数据、全部计算过程等不必在报告书中列出，必要时可编入附录。所参考的主要文献应按其发表的时间次序由近至远列出目录。</w:t>
      </w:r>
    </w:p>
    <w:p>
      <w:pPr>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3.2</w:t>
      </w:r>
      <w:r>
        <w:rPr>
          <w:rFonts w:hint="eastAsia" w:ascii="宋体" w:hAnsi="宋体" w:cs="宋体"/>
          <w:szCs w:val="21"/>
          <w:highlight w:val="none"/>
          <w:lang w:val="en-US" w:eastAsia="zh-CN"/>
        </w:rPr>
        <w:t xml:space="preserve"> </w:t>
      </w:r>
      <w:r>
        <w:rPr>
          <w:rFonts w:hint="eastAsia" w:ascii="宋体" w:hAnsi="宋体" w:cs="宋体"/>
          <w:szCs w:val="21"/>
          <w:highlight w:val="none"/>
        </w:rPr>
        <w:t>成果包括但不限于如下约定：</w:t>
      </w:r>
    </w:p>
    <w:p>
      <w:pPr>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（1）结合重庆新机场预可研、可研、总规报告编制和</w:t>
      </w:r>
      <w:r>
        <w:rPr>
          <w:rFonts w:hint="eastAsia" w:ascii="宋体" w:hAnsi="宋体" w:cs="宋体"/>
          <w:szCs w:val="21"/>
          <w:highlight w:val="none"/>
          <w:lang w:eastAsia="zh-CN"/>
        </w:rPr>
        <w:t>综合交通枢纽工程</w:t>
      </w:r>
      <w:r>
        <w:rPr>
          <w:rFonts w:hint="eastAsia" w:ascii="宋体" w:hAnsi="宋体" w:cs="宋体"/>
          <w:szCs w:val="21"/>
          <w:highlight w:val="none"/>
        </w:rPr>
        <w:t>立项（代可研）报告编制需求，出具满足国家、行业、地方相关要求的重庆新机场</w:t>
      </w:r>
      <w:r>
        <w:rPr>
          <w:rFonts w:hint="eastAsia" w:ascii="宋体" w:hAnsi="宋体" w:cs="宋体"/>
          <w:szCs w:val="21"/>
          <w:highlight w:val="none"/>
          <w:lang w:eastAsia="zh-CN"/>
        </w:rPr>
        <w:t>防洪专项研究</w:t>
      </w:r>
      <w:r>
        <w:rPr>
          <w:rFonts w:hint="eastAsia" w:ascii="宋体" w:hAnsi="宋体" w:cs="宋体"/>
          <w:szCs w:val="21"/>
          <w:highlight w:val="none"/>
        </w:rPr>
        <w:t>报告，按照</w:t>
      </w:r>
      <w:r>
        <w:rPr>
          <w:rFonts w:hint="eastAsia" w:ascii="宋体" w:hAnsi="宋体" w:cs="宋体"/>
          <w:szCs w:val="21"/>
          <w:highlight w:val="none"/>
          <w:lang w:eastAsia="zh-CN"/>
        </w:rPr>
        <w:t>业主审核和行业内专家</w:t>
      </w:r>
      <w:r>
        <w:rPr>
          <w:rFonts w:hint="eastAsia" w:ascii="宋体" w:hAnsi="宋体" w:cs="宋体"/>
          <w:szCs w:val="21"/>
          <w:highlight w:val="none"/>
        </w:rPr>
        <w:t>技术评审</w:t>
      </w:r>
      <w:r>
        <w:rPr>
          <w:rFonts w:hint="eastAsia" w:ascii="宋体" w:hAnsi="宋体" w:cs="宋体"/>
          <w:szCs w:val="21"/>
          <w:highlight w:val="none"/>
          <w:lang w:eastAsia="zh-CN"/>
        </w:rPr>
        <w:t>过程中</w:t>
      </w:r>
      <w:r>
        <w:rPr>
          <w:rFonts w:hint="eastAsia" w:ascii="宋体" w:hAnsi="宋体" w:cs="宋体"/>
          <w:szCs w:val="21"/>
          <w:highlight w:val="none"/>
        </w:rPr>
        <w:t>提出的意见，对其修改、完善，直至</w:t>
      </w:r>
      <w:r>
        <w:rPr>
          <w:rFonts w:hint="eastAsia" w:ascii="宋体" w:hAnsi="宋体" w:cs="宋体"/>
          <w:szCs w:val="21"/>
          <w:highlight w:val="none"/>
          <w:lang w:eastAsia="zh-CN"/>
        </w:rPr>
        <w:t>经业主审核和行业内专家评审通过</w:t>
      </w:r>
      <w:r>
        <w:rPr>
          <w:rFonts w:hint="eastAsia" w:ascii="宋体" w:hAnsi="宋体" w:cs="宋体"/>
          <w:szCs w:val="21"/>
          <w:highlight w:val="none"/>
        </w:rPr>
        <w:t>。</w:t>
      </w:r>
    </w:p>
    <w:p>
      <w:pPr>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（2）按照业主上报、存档等要求提供纸质版及电子版文件。</w:t>
      </w:r>
    </w:p>
    <w:p>
      <w:pPr>
        <w:adjustRightInd w:val="0"/>
        <w:snapToGrid w:val="0"/>
        <w:spacing w:line="400" w:lineRule="exact"/>
        <w:ind w:firstLine="422" w:firstLineChars="200"/>
        <w:jc w:val="left"/>
        <w:rPr>
          <w:rFonts w:hint="eastAsia" w:ascii="宋体" w:hAnsi="宋体" w:cs="宋体"/>
          <w:b/>
          <w:szCs w:val="21"/>
          <w:highlight w:val="none"/>
        </w:rPr>
      </w:pPr>
      <w:r>
        <w:rPr>
          <w:rFonts w:hint="eastAsia" w:ascii="宋体" w:hAnsi="宋体" w:cs="宋体"/>
          <w:b/>
          <w:szCs w:val="21"/>
          <w:highlight w:val="none"/>
        </w:rPr>
        <w:t>4. 参考资料</w:t>
      </w:r>
    </w:p>
    <w:p>
      <w:pPr>
        <w:autoSpaceDE w:val="0"/>
        <w:autoSpaceDN w:val="0"/>
        <w:adjustRightInd w:val="0"/>
        <w:snapToGrid w:val="0"/>
        <w:spacing w:line="400" w:lineRule="exact"/>
        <w:ind w:firstLine="420" w:firstLineChars="200"/>
        <w:jc w:val="left"/>
        <w:rPr>
          <w:rFonts w:hint="eastAsia" w:ascii="宋体" w:hAnsi="宋体" w:cs="宋体"/>
          <w:spacing w:val="2"/>
          <w:w w:val="99"/>
          <w:kern w:val="0"/>
          <w:position w:val="-1"/>
          <w:szCs w:val="21"/>
          <w:highlight w:val="none"/>
        </w:rPr>
      </w:pPr>
      <w:r>
        <w:rPr>
          <w:rFonts w:hint="eastAsia" w:ascii="宋体" w:hAnsi="宋体" w:cs="宋体"/>
          <w:szCs w:val="21"/>
          <w:highlight w:val="none"/>
          <w:lang w:eastAsia="zh-CN"/>
        </w:rPr>
        <w:t>参考</w:t>
      </w:r>
      <w:r>
        <w:rPr>
          <w:rFonts w:hint="eastAsia" w:ascii="宋体" w:hAnsi="宋体" w:cs="宋体"/>
          <w:szCs w:val="21"/>
          <w:highlight w:val="none"/>
        </w:rPr>
        <w:t>资料随本招标文件一并发布，由投标人自行下载。</w:t>
      </w:r>
    </w:p>
    <w:p>
      <w:pPr>
        <w:pStyle w:val="16"/>
        <w:outlineLvl w:val="9"/>
        <w:rPr>
          <w:rFonts w:hint="eastAsia"/>
          <w:highlight w:val="none"/>
        </w:rPr>
      </w:pPr>
      <w:r>
        <w:rPr>
          <w:rFonts w:hint="eastAsia" w:ascii="宋体" w:hAnsi="宋体" w:cs="宋体"/>
          <w:b w:val="0"/>
          <w:spacing w:val="2"/>
          <w:w w:val="99"/>
          <w:kern w:val="0"/>
          <w:sz w:val="44"/>
          <w:szCs w:val="44"/>
          <w:highlight w:val="none"/>
        </w:rPr>
        <w:br w:type="page"/>
      </w:r>
    </w:p>
    <w:p>
      <w:pPr>
        <w:pStyle w:val="16"/>
        <w:rPr>
          <w:rFonts w:hint="eastAsia"/>
          <w:highlight w:val="none"/>
        </w:rPr>
      </w:pPr>
      <w:bookmarkStart w:id="155" w:name="_Toc8534"/>
      <w:bookmarkStart w:id="156" w:name="_Toc10363"/>
      <w:bookmarkStart w:id="157" w:name="_Toc4657"/>
      <w:r>
        <w:rPr>
          <w:rFonts w:hint="eastAsia"/>
          <w:highlight w:val="none"/>
        </w:rPr>
        <w:t>第六章  投标文件格式</w:t>
      </w:r>
      <w:bookmarkEnd w:id="155"/>
      <w:bookmarkEnd w:id="156"/>
      <w:bookmarkEnd w:id="157"/>
    </w:p>
    <w:p>
      <w:pPr>
        <w:jc w:val="center"/>
        <w:rPr>
          <w:rFonts w:hint="eastAsia" w:ascii="宋体" w:hAnsi="宋体" w:cs="宋体"/>
          <w:b/>
          <w:bCs/>
          <w:kern w:val="0"/>
          <w:sz w:val="20"/>
          <w:szCs w:val="20"/>
          <w:highlight w:val="none"/>
        </w:rPr>
      </w:pPr>
      <w:r>
        <w:rPr>
          <w:rFonts w:hint="eastAsia" w:ascii="宋体" w:hAnsi="宋体" w:cs="宋体"/>
          <w:kern w:val="0"/>
          <w:sz w:val="20"/>
          <w:szCs w:val="20"/>
          <w:highlight w:val="none"/>
        </w:rPr>
        <w:br w:type="page"/>
      </w:r>
    </w:p>
    <w:p>
      <w:pPr>
        <w:jc w:val="left"/>
        <w:rPr>
          <w:b/>
          <w:bCs/>
          <w:sz w:val="28"/>
          <w:szCs w:val="28"/>
          <w:highlight w:val="none"/>
          <w:u w:val="single"/>
        </w:rPr>
      </w:pPr>
    </w:p>
    <w:p>
      <w:pPr>
        <w:jc w:val="left"/>
        <w:rPr>
          <w:b/>
          <w:bCs/>
          <w:sz w:val="36"/>
          <w:szCs w:val="36"/>
          <w:highlight w:val="none"/>
        </w:rPr>
      </w:pPr>
      <w:r>
        <w:rPr>
          <w:b/>
          <w:bCs/>
          <w:sz w:val="28"/>
          <w:szCs w:val="28"/>
          <w:highlight w:val="none"/>
          <w:u w:val="single"/>
        </w:rPr>
        <w:tab/>
      </w:r>
      <w:r>
        <w:rPr>
          <w:b/>
          <w:bCs/>
          <w:sz w:val="28"/>
          <w:szCs w:val="28"/>
          <w:highlight w:val="none"/>
          <w:u w:val="single"/>
        </w:rPr>
        <w:t xml:space="preserve">                                        </w:t>
      </w:r>
      <w:r>
        <w:rPr>
          <w:rFonts w:hint="eastAsia" w:cs="MingLiU"/>
          <w:b/>
          <w:bCs/>
          <w:w w:val="99"/>
          <w:sz w:val="28"/>
          <w:szCs w:val="28"/>
          <w:highlight w:val="none"/>
        </w:rPr>
        <w:t>（项目名称</w:t>
      </w:r>
      <w:r>
        <w:rPr>
          <w:rFonts w:hint="eastAsia" w:cs="MingLiU"/>
          <w:b/>
          <w:bCs/>
          <w:spacing w:val="1"/>
          <w:w w:val="99"/>
          <w:sz w:val="28"/>
          <w:szCs w:val="28"/>
          <w:highlight w:val="none"/>
        </w:rPr>
        <w:t>）</w:t>
      </w:r>
    </w:p>
    <w:p>
      <w:pPr>
        <w:rPr>
          <w:b/>
          <w:bCs/>
          <w:highlight w:val="none"/>
        </w:rPr>
      </w:pPr>
    </w:p>
    <w:p>
      <w:pPr>
        <w:rPr>
          <w:b/>
          <w:bCs/>
          <w:highlight w:val="none"/>
        </w:rPr>
      </w:pPr>
    </w:p>
    <w:p>
      <w:pPr>
        <w:jc w:val="center"/>
        <w:rPr>
          <w:b/>
          <w:bCs/>
          <w:sz w:val="52"/>
          <w:szCs w:val="52"/>
          <w:highlight w:val="none"/>
        </w:rPr>
      </w:pPr>
    </w:p>
    <w:p>
      <w:pPr>
        <w:rPr>
          <w:b/>
          <w:bCs/>
          <w:highlight w:val="none"/>
        </w:rPr>
      </w:pPr>
    </w:p>
    <w:p>
      <w:pPr>
        <w:jc w:val="center"/>
        <w:rPr>
          <w:b/>
          <w:bCs/>
          <w:sz w:val="32"/>
          <w:szCs w:val="32"/>
          <w:highlight w:val="none"/>
        </w:rPr>
      </w:pPr>
    </w:p>
    <w:p>
      <w:pPr>
        <w:jc w:val="center"/>
        <w:rPr>
          <w:rFonts w:hint="eastAsia"/>
          <w:b/>
          <w:bCs/>
          <w:sz w:val="84"/>
          <w:szCs w:val="84"/>
          <w:highlight w:val="none"/>
        </w:rPr>
      </w:pPr>
    </w:p>
    <w:p>
      <w:pPr>
        <w:jc w:val="center"/>
        <w:rPr>
          <w:rFonts w:hint="eastAsia"/>
          <w:b/>
          <w:bCs/>
          <w:sz w:val="84"/>
          <w:szCs w:val="84"/>
          <w:highlight w:val="none"/>
        </w:rPr>
      </w:pPr>
    </w:p>
    <w:p>
      <w:pPr>
        <w:jc w:val="center"/>
        <w:rPr>
          <w:b/>
          <w:bCs/>
          <w:sz w:val="84"/>
          <w:szCs w:val="84"/>
          <w:highlight w:val="none"/>
        </w:rPr>
      </w:pPr>
      <w:r>
        <w:rPr>
          <w:rFonts w:hint="eastAsia"/>
          <w:b/>
          <w:bCs/>
          <w:sz w:val="84"/>
          <w:szCs w:val="84"/>
          <w:highlight w:val="none"/>
        </w:rPr>
        <w:t>投标文件</w:t>
      </w:r>
    </w:p>
    <w:p>
      <w:pPr>
        <w:jc w:val="center"/>
        <w:rPr>
          <w:b/>
          <w:bCs/>
          <w:sz w:val="48"/>
          <w:szCs w:val="48"/>
          <w:highlight w:val="none"/>
        </w:rPr>
      </w:pPr>
    </w:p>
    <w:p>
      <w:pPr>
        <w:jc w:val="center"/>
        <w:rPr>
          <w:b/>
          <w:bCs/>
          <w:sz w:val="48"/>
          <w:szCs w:val="48"/>
          <w:highlight w:val="none"/>
        </w:rPr>
      </w:pPr>
    </w:p>
    <w:p>
      <w:pPr>
        <w:rPr>
          <w:b/>
          <w:bCs/>
          <w:highlight w:val="none"/>
        </w:rPr>
      </w:pPr>
    </w:p>
    <w:p>
      <w:pPr>
        <w:rPr>
          <w:b/>
          <w:bCs/>
          <w:highlight w:val="none"/>
        </w:rPr>
      </w:pPr>
    </w:p>
    <w:p>
      <w:pPr>
        <w:rPr>
          <w:b/>
          <w:bCs/>
          <w:highlight w:val="none"/>
        </w:rPr>
      </w:pPr>
    </w:p>
    <w:p>
      <w:pPr>
        <w:rPr>
          <w:b/>
          <w:bCs/>
          <w:highlight w:val="none"/>
        </w:rPr>
      </w:pPr>
    </w:p>
    <w:p>
      <w:pPr>
        <w:rPr>
          <w:b/>
          <w:bCs/>
          <w:highlight w:val="none"/>
        </w:rPr>
      </w:pPr>
    </w:p>
    <w:p>
      <w:pPr>
        <w:rPr>
          <w:b/>
          <w:bCs/>
          <w:highlight w:val="none"/>
        </w:rPr>
      </w:pPr>
    </w:p>
    <w:p>
      <w:pPr>
        <w:rPr>
          <w:b/>
          <w:bCs/>
          <w:highlight w:val="none"/>
        </w:rPr>
      </w:pPr>
    </w:p>
    <w:p>
      <w:pPr>
        <w:rPr>
          <w:b/>
          <w:bCs/>
          <w:highlight w:val="none"/>
        </w:rPr>
      </w:pPr>
    </w:p>
    <w:p>
      <w:pPr>
        <w:ind w:firstLine="1205" w:firstLineChars="400"/>
        <w:rPr>
          <w:b/>
          <w:bCs/>
          <w:sz w:val="30"/>
          <w:szCs w:val="30"/>
          <w:highlight w:val="none"/>
        </w:rPr>
      </w:pPr>
    </w:p>
    <w:p>
      <w:pPr>
        <w:ind w:firstLine="1205" w:firstLineChars="400"/>
        <w:rPr>
          <w:b/>
          <w:bCs/>
          <w:sz w:val="30"/>
          <w:szCs w:val="30"/>
          <w:highlight w:val="none"/>
        </w:rPr>
      </w:pPr>
    </w:p>
    <w:p>
      <w:pPr>
        <w:ind w:firstLine="1205" w:firstLineChars="400"/>
        <w:rPr>
          <w:rFonts w:hint="eastAsia"/>
          <w:b/>
          <w:bCs/>
          <w:sz w:val="30"/>
          <w:szCs w:val="30"/>
          <w:highlight w:val="none"/>
        </w:rPr>
      </w:pPr>
    </w:p>
    <w:p>
      <w:pPr>
        <w:ind w:firstLine="1205" w:firstLineChars="400"/>
        <w:rPr>
          <w:rFonts w:hint="eastAsia"/>
          <w:b/>
          <w:bCs/>
          <w:sz w:val="30"/>
          <w:szCs w:val="30"/>
          <w:highlight w:val="none"/>
        </w:rPr>
      </w:pPr>
    </w:p>
    <w:p>
      <w:pPr>
        <w:ind w:firstLine="1205" w:firstLineChars="400"/>
        <w:rPr>
          <w:rFonts w:hint="eastAsia"/>
          <w:b/>
          <w:bCs/>
          <w:sz w:val="30"/>
          <w:szCs w:val="30"/>
          <w:highlight w:val="none"/>
        </w:rPr>
      </w:pPr>
    </w:p>
    <w:p>
      <w:pPr>
        <w:ind w:firstLine="1205" w:firstLineChars="400"/>
        <w:rPr>
          <w:rFonts w:hint="eastAsia"/>
          <w:b/>
          <w:bCs/>
          <w:sz w:val="30"/>
          <w:szCs w:val="30"/>
          <w:highlight w:val="none"/>
        </w:rPr>
      </w:pPr>
    </w:p>
    <w:p>
      <w:pPr>
        <w:ind w:firstLine="1205" w:firstLineChars="400"/>
        <w:rPr>
          <w:rFonts w:hint="eastAsia"/>
          <w:b/>
          <w:bCs/>
          <w:sz w:val="30"/>
          <w:szCs w:val="30"/>
          <w:highlight w:val="none"/>
        </w:rPr>
      </w:pPr>
    </w:p>
    <w:p>
      <w:pPr>
        <w:spacing w:line="360" w:lineRule="auto"/>
        <w:ind w:firstLine="1205" w:firstLineChars="400"/>
        <w:rPr>
          <w:b/>
          <w:bCs/>
          <w:sz w:val="30"/>
          <w:szCs w:val="30"/>
          <w:highlight w:val="none"/>
        </w:rPr>
      </w:pPr>
      <w:r>
        <w:rPr>
          <w:rFonts w:hint="eastAsia"/>
          <w:b/>
          <w:bCs/>
          <w:sz w:val="30"/>
          <w:szCs w:val="30"/>
          <w:highlight w:val="none"/>
        </w:rPr>
        <w:t>投标人：</w:t>
      </w:r>
      <w:r>
        <w:rPr>
          <w:b/>
          <w:bCs/>
          <w:sz w:val="30"/>
          <w:szCs w:val="30"/>
          <w:highlight w:val="none"/>
          <w:u w:val="single"/>
        </w:rPr>
        <w:t xml:space="preserve">                         </w:t>
      </w:r>
      <w:r>
        <w:rPr>
          <w:rFonts w:hint="eastAsia"/>
          <w:b/>
          <w:bCs/>
          <w:sz w:val="30"/>
          <w:szCs w:val="30"/>
          <w:highlight w:val="none"/>
        </w:rPr>
        <w:t>（盖单位公章）</w:t>
      </w:r>
    </w:p>
    <w:p>
      <w:pPr>
        <w:spacing w:line="360" w:lineRule="auto"/>
        <w:ind w:firstLine="1205" w:firstLineChars="400"/>
        <w:rPr>
          <w:b/>
          <w:bCs/>
          <w:sz w:val="30"/>
          <w:szCs w:val="30"/>
          <w:highlight w:val="none"/>
        </w:rPr>
      </w:pPr>
      <w:r>
        <w:rPr>
          <w:rFonts w:hint="eastAsia"/>
          <w:b/>
          <w:bCs/>
          <w:sz w:val="30"/>
          <w:szCs w:val="30"/>
          <w:highlight w:val="none"/>
        </w:rPr>
        <w:t>法定代表人或其委托代理人：</w:t>
      </w:r>
      <w:r>
        <w:rPr>
          <w:b/>
          <w:bCs/>
          <w:sz w:val="30"/>
          <w:szCs w:val="30"/>
          <w:highlight w:val="none"/>
          <w:u w:val="single"/>
        </w:rPr>
        <w:t xml:space="preserve">       </w:t>
      </w:r>
      <w:r>
        <w:rPr>
          <w:rFonts w:hint="eastAsia"/>
          <w:b/>
          <w:bCs/>
          <w:sz w:val="30"/>
          <w:szCs w:val="30"/>
          <w:highlight w:val="none"/>
        </w:rPr>
        <w:t>（签名或盖章）</w:t>
      </w:r>
    </w:p>
    <w:p>
      <w:pPr>
        <w:spacing w:line="360" w:lineRule="auto"/>
        <w:jc w:val="center"/>
        <w:rPr>
          <w:rFonts w:hint="eastAsia"/>
          <w:b/>
          <w:bCs/>
          <w:sz w:val="28"/>
          <w:szCs w:val="28"/>
          <w:highlight w:val="none"/>
        </w:rPr>
      </w:pPr>
      <w:r>
        <w:rPr>
          <w:b/>
          <w:bCs/>
          <w:sz w:val="30"/>
          <w:szCs w:val="30"/>
          <w:highlight w:val="none"/>
          <w:u w:val="single"/>
        </w:rPr>
        <w:t xml:space="preserve">     </w:t>
      </w:r>
      <w:r>
        <w:rPr>
          <w:rFonts w:hint="eastAsia"/>
          <w:b/>
          <w:bCs/>
          <w:sz w:val="30"/>
          <w:szCs w:val="30"/>
          <w:highlight w:val="none"/>
        </w:rPr>
        <w:t>年</w:t>
      </w:r>
      <w:r>
        <w:rPr>
          <w:b/>
          <w:bCs/>
          <w:sz w:val="30"/>
          <w:szCs w:val="30"/>
          <w:highlight w:val="none"/>
          <w:u w:val="single"/>
        </w:rPr>
        <w:t xml:space="preserve">  </w:t>
      </w:r>
      <w:r>
        <w:rPr>
          <w:rFonts w:hint="eastAsia"/>
          <w:b/>
          <w:bCs/>
          <w:sz w:val="30"/>
          <w:szCs w:val="30"/>
          <w:highlight w:val="none"/>
        </w:rPr>
        <w:t>月</w:t>
      </w:r>
      <w:r>
        <w:rPr>
          <w:b/>
          <w:bCs/>
          <w:sz w:val="30"/>
          <w:szCs w:val="30"/>
          <w:highlight w:val="none"/>
          <w:u w:val="single"/>
        </w:rPr>
        <w:t xml:space="preserve">  </w:t>
      </w:r>
      <w:r>
        <w:rPr>
          <w:rFonts w:hint="eastAsia"/>
          <w:b/>
          <w:bCs/>
          <w:sz w:val="30"/>
          <w:szCs w:val="30"/>
          <w:highlight w:val="none"/>
        </w:rPr>
        <w:t>日</w:t>
      </w:r>
    </w:p>
    <w:p>
      <w:pPr>
        <w:jc w:val="center"/>
        <w:rPr>
          <w:rFonts w:hint="eastAsia"/>
          <w:b/>
          <w:sz w:val="28"/>
          <w:szCs w:val="28"/>
          <w:highlight w:val="none"/>
        </w:rPr>
      </w:pPr>
    </w:p>
    <w:p>
      <w:pPr>
        <w:jc w:val="center"/>
        <w:rPr>
          <w:rFonts w:hint="eastAsia"/>
          <w:b/>
          <w:sz w:val="28"/>
          <w:szCs w:val="28"/>
          <w:highlight w:val="none"/>
        </w:rPr>
      </w:pPr>
    </w:p>
    <w:p>
      <w:pPr>
        <w:jc w:val="center"/>
        <w:rPr>
          <w:rFonts w:hint="eastAsia"/>
          <w:b/>
          <w:sz w:val="28"/>
          <w:szCs w:val="28"/>
          <w:highlight w:val="none"/>
        </w:rPr>
      </w:pPr>
    </w:p>
    <w:p>
      <w:pPr>
        <w:jc w:val="center"/>
        <w:rPr>
          <w:rFonts w:hint="eastAsia"/>
          <w:b/>
          <w:sz w:val="28"/>
          <w:szCs w:val="28"/>
          <w:highlight w:val="none"/>
        </w:rPr>
      </w:pPr>
      <w:r>
        <w:rPr>
          <w:rFonts w:hint="eastAsia"/>
          <w:b/>
          <w:sz w:val="28"/>
          <w:szCs w:val="28"/>
          <w:highlight w:val="none"/>
        </w:rPr>
        <w:t>目  录</w:t>
      </w:r>
    </w:p>
    <w:p>
      <w:pPr>
        <w:jc w:val="center"/>
        <w:rPr>
          <w:rFonts w:hint="eastAsia"/>
          <w:b/>
          <w:sz w:val="28"/>
          <w:szCs w:val="28"/>
          <w:highlight w:val="none"/>
        </w:rPr>
      </w:pPr>
    </w:p>
    <w:p>
      <w:pPr>
        <w:snapToGrid w:val="0"/>
        <w:spacing w:line="360" w:lineRule="auto"/>
        <w:ind w:firstLine="480" w:firstLineChars="200"/>
        <w:textAlignment w:val="top"/>
        <w:rPr>
          <w:snapToGrid w:val="0"/>
          <w:sz w:val="24"/>
          <w:szCs w:val="24"/>
          <w:highlight w:val="none"/>
        </w:rPr>
      </w:pPr>
      <w:r>
        <w:rPr>
          <w:rFonts w:hint="eastAsia"/>
          <w:snapToGrid w:val="0"/>
          <w:sz w:val="24"/>
          <w:szCs w:val="24"/>
          <w:highlight w:val="none"/>
        </w:rPr>
        <w:t>投标人自拟</w:t>
      </w:r>
    </w:p>
    <w:p>
      <w:pPr>
        <w:pStyle w:val="17"/>
        <w:spacing w:line="360" w:lineRule="auto"/>
        <w:rPr>
          <w:rFonts w:hAnsi="宋体"/>
          <w:bCs/>
          <w:color w:val="auto"/>
          <w:highlight w:val="none"/>
        </w:rPr>
      </w:pPr>
    </w:p>
    <w:p>
      <w:pPr>
        <w:pStyle w:val="17"/>
        <w:spacing w:line="360" w:lineRule="auto"/>
        <w:rPr>
          <w:rFonts w:hAnsi="宋体"/>
          <w:bCs/>
          <w:color w:val="auto"/>
          <w:highlight w:val="none"/>
        </w:rPr>
      </w:pPr>
    </w:p>
    <w:p>
      <w:pPr>
        <w:widowControl/>
        <w:jc w:val="left"/>
        <w:rPr>
          <w:rFonts w:ascii="Calibri" w:cs="黑体"/>
          <w:b/>
          <w:bCs/>
          <w:sz w:val="28"/>
          <w:szCs w:val="28"/>
          <w:highlight w:val="none"/>
        </w:rPr>
      </w:pPr>
      <w:r>
        <w:rPr>
          <w:rFonts w:cs="黑体"/>
          <w:b/>
          <w:bCs/>
          <w:sz w:val="28"/>
          <w:szCs w:val="28"/>
          <w:highlight w:val="none"/>
        </w:rPr>
        <w:br w:type="page"/>
      </w:r>
    </w:p>
    <w:p>
      <w:pPr>
        <w:pStyle w:val="26"/>
        <w:spacing w:after="0"/>
        <w:jc w:val="center"/>
        <w:outlineLvl w:val="1"/>
        <w:rPr>
          <w:rFonts w:hint="eastAsia" w:hAnsi="宋体" w:cs="黑体"/>
          <w:b/>
          <w:bCs/>
          <w:sz w:val="28"/>
          <w:szCs w:val="28"/>
          <w:highlight w:val="none"/>
        </w:rPr>
      </w:pPr>
      <w:bookmarkStart w:id="158" w:name="_Toc20598"/>
      <w:bookmarkStart w:id="159" w:name="_Toc23616"/>
      <w:bookmarkStart w:id="160" w:name="_Toc27509"/>
      <w:bookmarkStart w:id="161" w:name="_Toc23398"/>
      <w:bookmarkStart w:id="162" w:name="_Toc20387"/>
      <w:bookmarkStart w:id="163" w:name="_Toc10576"/>
      <w:bookmarkStart w:id="164" w:name="_Toc511161953"/>
      <w:r>
        <w:rPr>
          <w:rFonts w:hint="eastAsia" w:hAnsi="宋体" w:cs="黑体"/>
          <w:b/>
          <w:bCs/>
          <w:sz w:val="28"/>
          <w:szCs w:val="28"/>
          <w:highlight w:val="none"/>
        </w:rPr>
        <w:t>一、投标函部分</w:t>
      </w:r>
      <w:bookmarkEnd w:id="158"/>
      <w:bookmarkEnd w:id="159"/>
      <w:bookmarkEnd w:id="160"/>
      <w:bookmarkEnd w:id="161"/>
      <w:bookmarkEnd w:id="162"/>
      <w:bookmarkEnd w:id="163"/>
      <w:bookmarkEnd w:id="164"/>
    </w:p>
    <w:p>
      <w:pPr>
        <w:pStyle w:val="26"/>
        <w:spacing w:after="0"/>
        <w:jc w:val="center"/>
        <w:rPr>
          <w:rFonts w:hint="eastAsia" w:hAnsi="宋体" w:cs="黑体"/>
          <w:b/>
          <w:bCs/>
          <w:sz w:val="28"/>
          <w:szCs w:val="28"/>
          <w:highlight w:val="none"/>
        </w:rPr>
      </w:pPr>
      <w:r>
        <w:rPr>
          <w:rFonts w:hint="eastAsia" w:hAnsi="宋体" w:cs="黑体"/>
          <w:b/>
          <w:bCs/>
          <w:sz w:val="28"/>
          <w:szCs w:val="28"/>
          <w:highlight w:val="none"/>
        </w:rPr>
        <w:br w:type="page"/>
      </w:r>
      <w:r>
        <w:rPr>
          <w:rFonts w:hint="eastAsia" w:ascii="宋体" w:hAnsi="宋体" w:cs="宋体"/>
          <w:spacing w:val="2"/>
          <w:position w:val="-4"/>
          <w:sz w:val="28"/>
          <w:szCs w:val="28"/>
          <w:highlight w:val="none"/>
        </w:rPr>
        <w:t>（一）</w:t>
      </w:r>
      <w:r>
        <w:rPr>
          <w:rFonts w:hint="eastAsia" w:hAnsi="宋体" w:cs="黑体"/>
          <w:b/>
          <w:bCs/>
          <w:sz w:val="28"/>
          <w:szCs w:val="28"/>
          <w:highlight w:val="none"/>
        </w:rPr>
        <w:t>投标函</w:t>
      </w:r>
    </w:p>
    <w:p>
      <w:pPr>
        <w:tabs>
          <w:tab w:val="left" w:pos="1980"/>
        </w:tabs>
        <w:autoSpaceDE w:val="0"/>
        <w:autoSpaceDN w:val="0"/>
        <w:adjustRightInd w:val="0"/>
        <w:snapToGrid w:val="0"/>
        <w:spacing w:line="360" w:lineRule="auto"/>
        <w:jc w:val="left"/>
        <w:rPr>
          <w:rFonts w:hint="eastAsia" w:ascii="宋体" w:hAnsi="宋体" w:cs="宋体"/>
          <w:snapToGrid w:val="0"/>
          <w:kern w:val="0"/>
          <w:szCs w:val="21"/>
          <w:highlight w:val="none"/>
        </w:rPr>
      </w:pPr>
      <w:r>
        <w:rPr>
          <w:rFonts w:hint="eastAsia" w:ascii="宋体" w:hAnsi="宋体" w:cs="宋体"/>
          <w:snapToGrid w:val="0"/>
          <w:kern w:val="0"/>
          <w:position w:val="-4"/>
          <w:szCs w:val="21"/>
          <w:highlight w:val="none"/>
          <w:u w:val="single"/>
        </w:rPr>
        <w:t xml:space="preserve"> </w:t>
      </w:r>
      <w:r>
        <w:rPr>
          <w:rFonts w:hint="eastAsia" w:ascii="宋体" w:hAnsi="宋体" w:cs="宋体"/>
          <w:snapToGrid w:val="0"/>
          <w:kern w:val="0"/>
          <w:position w:val="-4"/>
          <w:szCs w:val="21"/>
          <w:highlight w:val="none"/>
          <w:u w:val="single"/>
        </w:rPr>
        <w:tab/>
      </w:r>
      <w:r>
        <w:rPr>
          <w:rFonts w:hint="eastAsia" w:ascii="宋体" w:hAnsi="宋体" w:cs="宋体"/>
          <w:snapToGrid w:val="0"/>
          <w:kern w:val="0"/>
          <w:position w:val="-4"/>
          <w:szCs w:val="21"/>
          <w:highlight w:val="none"/>
        </w:rPr>
        <w:t>（招标人名称）：</w:t>
      </w:r>
    </w:p>
    <w:p>
      <w:pPr>
        <w:tabs>
          <w:tab w:val="left" w:pos="1460"/>
          <w:tab w:val="left" w:pos="3880"/>
        </w:tabs>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1.我方已仔细研究了</w:t>
      </w:r>
      <w:r>
        <w:rPr>
          <w:rFonts w:hint="eastAsia" w:ascii="宋体" w:hAnsi="宋体" w:cs="宋体"/>
          <w:kern w:val="0"/>
          <w:szCs w:val="21"/>
          <w:highlight w:val="none"/>
          <w:u w:val="single"/>
        </w:rPr>
        <w:t xml:space="preserve">                  </w:t>
      </w:r>
      <w:r>
        <w:rPr>
          <w:rFonts w:hint="eastAsia" w:ascii="宋体" w:hAnsi="宋体" w:cs="宋体"/>
          <w:kern w:val="0"/>
          <w:szCs w:val="21"/>
          <w:highlight w:val="none"/>
          <w:u w:val="single"/>
        </w:rPr>
        <w:tab/>
      </w:r>
      <w:r>
        <w:rPr>
          <w:rFonts w:hint="eastAsia" w:ascii="宋体" w:hAnsi="宋体" w:cs="宋体"/>
          <w:kern w:val="0"/>
          <w:szCs w:val="21"/>
          <w:highlight w:val="none"/>
          <w:u w:val="single"/>
        </w:rPr>
        <w:t>（项目名称）</w:t>
      </w:r>
      <w:r>
        <w:rPr>
          <w:rFonts w:hint="eastAsia" w:ascii="宋体" w:hAnsi="宋体" w:cs="宋体"/>
          <w:kern w:val="0"/>
          <w:szCs w:val="21"/>
          <w:highlight w:val="none"/>
        </w:rPr>
        <w:t>招标文件的全部内容，愿意以人民币（大写）</w:t>
      </w:r>
      <w:r>
        <w:rPr>
          <w:rFonts w:hint="eastAsia" w:ascii="宋体" w:hAnsi="宋体" w:cs="宋体"/>
          <w:kern w:val="0"/>
          <w:szCs w:val="21"/>
          <w:highlight w:val="none"/>
          <w:u w:val="single"/>
        </w:rPr>
        <w:t xml:space="preserve"> </w:t>
      </w:r>
      <w:r>
        <w:rPr>
          <w:rFonts w:hint="eastAsia" w:ascii="宋体" w:hAnsi="宋体" w:cs="宋体"/>
          <w:kern w:val="0"/>
          <w:szCs w:val="21"/>
          <w:highlight w:val="none"/>
          <w:u w:val="single"/>
        </w:rPr>
        <w:tab/>
      </w:r>
      <w:r>
        <w:rPr>
          <w:rFonts w:hint="eastAsia" w:ascii="宋体" w:hAnsi="宋体" w:cs="宋体"/>
          <w:kern w:val="0"/>
          <w:szCs w:val="21"/>
          <w:highlight w:val="none"/>
        </w:rPr>
        <w:t>（¥</w:t>
      </w:r>
      <w:r>
        <w:rPr>
          <w:rFonts w:hint="eastAsia" w:ascii="宋体" w:hAnsi="宋体" w:cs="宋体"/>
          <w:kern w:val="0"/>
          <w:szCs w:val="21"/>
          <w:highlight w:val="none"/>
          <w:u w:val="single"/>
        </w:rPr>
        <w:t xml:space="preserve"> </w:t>
      </w:r>
      <w:r>
        <w:rPr>
          <w:rFonts w:hint="eastAsia" w:ascii="宋体" w:hAnsi="宋体" w:cs="宋体"/>
          <w:kern w:val="0"/>
          <w:szCs w:val="21"/>
          <w:highlight w:val="none"/>
          <w:u w:val="single"/>
        </w:rPr>
        <w:tab/>
      </w:r>
      <w:r>
        <w:rPr>
          <w:rFonts w:hint="eastAsia" w:ascii="宋体" w:hAnsi="宋体" w:cs="宋体"/>
          <w:kern w:val="0"/>
          <w:szCs w:val="21"/>
          <w:highlight w:val="none"/>
        </w:rPr>
        <w:t>）的不含增值税投标总报价</w:t>
      </w:r>
      <w:r>
        <w:rPr>
          <w:rFonts w:hint="eastAsia" w:ascii="宋体" w:hAnsi="宋体" w:cs="宋体"/>
          <w:color w:val="000000"/>
          <w:szCs w:val="21"/>
          <w:highlight w:val="none"/>
        </w:rPr>
        <w:t>，增值税税率为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w:t>
      </w:r>
      <w:r>
        <w:rPr>
          <w:rFonts w:hint="eastAsia" w:ascii="宋体" w:hAnsi="宋体" w:cs="宋体"/>
          <w:kern w:val="0"/>
          <w:szCs w:val="21"/>
          <w:highlight w:val="none"/>
        </w:rPr>
        <w:t>，服务周期：</w:t>
      </w:r>
      <w:r>
        <w:rPr>
          <w:rFonts w:hint="eastAsia" w:ascii="宋体" w:hAnsi="宋体" w:cs="宋体"/>
          <w:szCs w:val="21"/>
          <w:highlight w:val="none"/>
          <w:u w:val="single"/>
        </w:rPr>
        <w:t>满足招标文件要求</w:t>
      </w:r>
      <w:r>
        <w:rPr>
          <w:rFonts w:hint="eastAsia" w:ascii="宋体" w:hAnsi="宋体" w:cs="宋体"/>
          <w:kern w:val="0"/>
          <w:szCs w:val="21"/>
          <w:highlight w:val="none"/>
        </w:rPr>
        <w:t>，按合同约定完成服务工作。质量标准：</w:t>
      </w:r>
      <w:r>
        <w:rPr>
          <w:rFonts w:hint="eastAsia" w:ascii="宋体" w:hAnsi="宋体" w:cs="宋体"/>
          <w:kern w:val="0"/>
          <w:szCs w:val="21"/>
          <w:highlight w:val="none"/>
          <w:u w:val="single"/>
        </w:rPr>
        <w:t>满足招标文件要求</w:t>
      </w:r>
      <w:r>
        <w:rPr>
          <w:rFonts w:hint="eastAsia" w:ascii="宋体" w:hAnsi="宋体" w:cs="宋体"/>
          <w:kern w:val="0"/>
          <w:szCs w:val="21"/>
          <w:highlight w:val="none"/>
        </w:rPr>
        <w:t>，拟派项目负责人为</w:t>
      </w:r>
      <w:r>
        <w:rPr>
          <w:rFonts w:hint="eastAsia" w:ascii="宋体" w:hAnsi="宋体" w:cs="宋体"/>
          <w:kern w:val="0"/>
          <w:szCs w:val="21"/>
          <w:highlight w:val="none"/>
          <w:u w:val="single"/>
        </w:rPr>
        <w:t>　     　</w:t>
      </w:r>
      <w:r>
        <w:rPr>
          <w:rFonts w:hint="eastAsia" w:ascii="宋体" w:hAnsi="宋体" w:cs="宋体"/>
          <w:kern w:val="0"/>
          <w:szCs w:val="21"/>
          <w:highlight w:val="none"/>
          <w:u w:val="none"/>
        </w:rPr>
        <w:t>，</w:t>
      </w:r>
      <w:r>
        <w:rPr>
          <w:rFonts w:hint="eastAsia" w:ascii="宋体" w:hAnsi="宋体" w:cs="宋体"/>
          <w:kern w:val="0"/>
          <w:szCs w:val="21"/>
          <w:highlight w:val="none"/>
          <w:u w:val="none"/>
          <w:lang w:eastAsia="zh-CN"/>
        </w:rPr>
        <w:t>技术</w:t>
      </w:r>
      <w:r>
        <w:rPr>
          <w:rFonts w:hint="eastAsia" w:ascii="宋体" w:hAnsi="宋体" w:cs="宋体"/>
          <w:kern w:val="0"/>
          <w:szCs w:val="21"/>
          <w:highlight w:val="none"/>
        </w:rPr>
        <w:t>负责人为</w:t>
      </w:r>
      <w:r>
        <w:rPr>
          <w:rFonts w:hint="eastAsia" w:ascii="宋体" w:hAnsi="宋体" w:cs="宋体"/>
          <w:kern w:val="0"/>
          <w:szCs w:val="21"/>
          <w:highlight w:val="none"/>
          <w:u w:val="single"/>
        </w:rPr>
        <w:t>　     　</w:t>
      </w:r>
      <w:r>
        <w:rPr>
          <w:rFonts w:hint="eastAsia" w:ascii="宋体" w:hAnsi="宋体" w:cs="宋体"/>
          <w:kern w:val="0"/>
          <w:szCs w:val="21"/>
          <w:highlight w:val="none"/>
        </w:rPr>
        <w:t>。</w:t>
      </w:r>
    </w:p>
    <w:p>
      <w:pPr>
        <w:adjustRightInd w:val="0"/>
        <w:snapToGrid w:val="0"/>
        <w:spacing w:line="360" w:lineRule="auto"/>
        <w:ind w:firstLine="420" w:firstLineChars="200"/>
        <w:jc w:val="left"/>
        <w:rPr>
          <w:rFonts w:hint="eastAsia" w:ascii="宋体" w:hAnsi="宋体" w:cs="宋体"/>
          <w:bCs/>
          <w:szCs w:val="21"/>
          <w:highlight w:val="none"/>
        </w:rPr>
      </w:pPr>
      <w:r>
        <w:rPr>
          <w:rFonts w:hint="eastAsia" w:ascii="宋体" w:hAnsi="宋体" w:cs="宋体"/>
          <w:bCs/>
          <w:szCs w:val="21"/>
          <w:highlight w:val="none"/>
        </w:rPr>
        <w:t>2.</w:t>
      </w:r>
      <w:r>
        <w:rPr>
          <w:rFonts w:hint="eastAsia" w:ascii="宋体" w:hAnsi="宋体" w:cs="宋体"/>
          <w:snapToGrid w:val="0"/>
          <w:kern w:val="0"/>
          <w:szCs w:val="21"/>
          <w:highlight w:val="none"/>
        </w:rPr>
        <w:t>我方承诺响应招标文件规定的投标有效期，在投标有效期内不修改、撤销投标文件。</w:t>
      </w:r>
    </w:p>
    <w:p>
      <w:pPr>
        <w:adjustRightInd w:val="0"/>
        <w:snapToGrid w:val="0"/>
        <w:spacing w:line="360" w:lineRule="auto"/>
        <w:ind w:firstLine="420" w:firstLineChars="200"/>
        <w:jc w:val="left"/>
        <w:rPr>
          <w:rFonts w:hint="eastAsia" w:ascii="宋体" w:hAnsi="宋体" w:cs="宋体"/>
          <w:bCs/>
          <w:szCs w:val="21"/>
          <w:highlight w:val="none"/>
        </w:rPr>
      </w:pPr>
      <w:r>
        <w:rPr>
          <w:rFonts w:hint="eastAsia" w:ascii="宋体" w:hAnsi="宋体" w:cs="宋体"/>
          <w:bCs/>
          <w:szCs w:val="21"/>
          <w:highlight w:val="none"/>
        </w:rPr>
        <w:t>3.随同本投标函提交投标保证金一份，金额满足招标文件要求。</w:t>
      </w:r>
      <w:r>
        <w:rPr>
          <w:rFonts w:hint="eastAsia" w:ascii="宋体" w:hAnsi="宋体" w:cs="宋体"/>
          <w:snapToGrid w:val="0"/>
          <w:kern w:val="0"/>
          <w:szCs w:val="21"/>
          <w:highlight w:val="none"/>
        </w:rPr>
        <w:t>投标保证金有效期与投标有效期一致，在此期间，若我方违反招投标有关法律、法规及本招标文件的相关规定，投标保证金的受益人为招标人。</w:t>
      </w:r>
    </w:p>
    <w:p>
      <w:pPr>
        <w:adjustRightInd w:val="0"/>
        <w:snapToGrid w:val="0"/>
        <w:spacing w:line="360" w:lineRule="auto"/>
        <w:ind w:firstLine="420" w:firstLineChars="200"/>
        <w:jc w:val="left"/>
        <w:rPr>
          <w:rFonts w:hint="eastAsia" w:ascii="宋体" w:hAnsi="宋体" w:cs="宋体"/>
          <w:bCs/>
          <w:szCs w:val="21"/>
          <w:highlight w:val="none"/>
        </w:rPr>
      </w:pPr>
      <w:r>
        <w:rPr>
          <w:rFonts w:hint="eastAsia" w:ascii="宋体" w:hAnsi="宋体" w:cs="宋体"/>
          <w:bCs/>
          <w:szCs w:val="21"/>
          <w:highlight w:val="none"/>
        </w:rPr>
        <w:t>4.如我方中标：</w:t>
      </w:r>
    </w:p>
    <w:p>
      <w:pPr>
        <w:adjustRightInd w:val="0"/>
        <w:snapToGrid w:val="0"/>
        <w:spacing w:line="360" w:lineRule="auto"/>
        <w:ind w:firstLine="420" w:firstLineChars="200"/>
        <w:jc w:val="left"/>
        <w:rPr>
          <w:rFonts w:hint="eastAsia" w:ascii="宋体" w:hAnsi="宋体" w:cs="宋体"/>
          <w:bCs/>
          <w:szCs w:val="21"/>
          <w:highlight w:val="none"/>
        </w:rPr>
      </w:pPr>
      <w:r>
        <w:rPr>
          <w:rFonts w:hint="eastAsia" w:ascii="宋体" w:hAnsi="宋体" w:cs="宋体"/>
          <w:bCs/>
          <w:szCs w:val="21"/>
          <w:highlight w:val="none"/>
        </w:rPr>
        <w:t>(l）我方承诺在收到中标通知书后，在中标通知书规定的期限内与你方签订合同。</w:t>
      </w:r>
    </w:p>
    <w:p>
      <w:pPr>
        <w:adjustRightInd w:val="0"/>
        <w:snapToGrid w:val="0"/>
        <w:spacing w:line="360" w:lineRule="auto"/>
        <w:ind w:firstLine="420" w:firstLineChars="200"/>
        <w:jc w:val="left"/>
        <w:rPr>
          <w:rFonts w:hint="eastAsia" w:ascii="宋体" w:hAnsi="宋体" w:cs="宋体"/>
          <w:bCs/>
          <w:szCs w:val="21"/>
          <w:highlight w:val="none"/>
        </w:rPr>
      </w:pPr>
      <w:r>
        <w:rPr>
          <w:rFonts w:hint="eastAsia" w:ascii="宋体" w:hAnsi="宋体" w:cs="宋体"/>
          <w:bCs/>
          <w:szCs w:val="21"/>
          <w:highlight w:val="none"/>
        </w:rPr>
        <w:t>(2）我方承诺按照招标文件规定向你方递交履约担保。</w:t>
      </w:r>
    </w:p>
    <w:p>
      <w:pPr>
        <w:adjustRightInd w:val="0"/>
        <w:snapToGrid w:val="0"/>
        <w:spacing w:line="360" w:lineRule="auto"/>
        <w:ind w:firstLine="420" w:firstLineChars="200"/>
        <w:jc w:val="left"/>
        <w:rPr>
          <w:rFonts w:hint="eastAsia" w:ascii="宋体" w:hAnsi="宋体" w:cs="宋体"/>
          <w:bCs/>
          <w:szCs w:val="21"/>
          <w:highlight w:val="none"/>
        </w:rPr>
      </w:pPr>
      <w:r>
        <w:rPr>
          <w:rFonts w:hint="eastAsia" w:ascii="宋体" w:hAnsi="宋体" w:cs="宋体"/>
          <w:bCs/>
          <w:szCs w:val="21"/>
          <w:highlight w:val="none"/>
        </w:rPr>
        <w:t>(3）我方承诺在合同约定的期限内完成全部合同项目。</w:t>
      </w:r>
    </w:p>
    <w:p>
      <w:pPr>
        <w:adjustRightInd w:val="0"/>
        <w:snapToGrid w:val="0"/>
        <w:spacing w:line="360" w:lineRule="auto"/>
        <w:ind w:firstLine="420" w:firstLineChars="200"/>
        <w:jc w:val="left"/>
        <w:rPr>
          <w:rFonts w:hint="eastAsia" w:ascii="宋体" w:hAnsi="宋体" w:cs="宋体"/>
          <w:bCs/>
          <w:szCs w:val="21"/>
          <w:highlight w:val="none"/>
        </w:rPr>
      </w:pPr>
      <w:r>
        <w:rPr>
          <w:rFonts w:hint="eastAsia" w:ascii="宋体" w:hAnsi="宋体" w:cs="宋体"/>
          <w:bCs/>
          <w:szCs w:val="21"/>
          <w:highlight w:val="none"/>
        </w:rPr>
        <w:t>5.我方在此声明，所递交的投标文件及有关资料内容完整、真实和准确。</w:t>
      </w:r>
    </w:p>
    <w:p>
      <w:pPr>
        <w:adjustRightInd w:val="0"/>
        <w:snapToGrid w:val="0"/>
        <w:spacing w:line="360" w:lineRule="auto"/>
        <w:ind w:firstLine="420" w:firstLineChars="200"/>
        <w:jc w:val="left"/>
        <w:rPr>
          <w:rFonts w:hint="eastAsia" w:ascii="宋体" w:hAnsi="宋体" w:cs="宋体"/>
          <w:bCs/>
          <w:szCs w:val="21"/>
          <w:highlight w:val="none"/>
        </w:rPr>
      </w:pPr>
      <w:r>
        <w:rPr>
          <w:rFonts w:hint="eastAsia" w:ascii="宋体" w:hAnsi="宋体" w:cs="宋体"/>
          <w:bCs/>
          <w:szCs w:val="21"/>
          <w:highlight w:val="none"/>
        </w:rPr>
        <w:t>6.在合同协议书正式签署生效之前，本投标函连同你方的中标通知书将构成我们双方之间共同遵守的文件，对双方具有约束力。</w:t>
      </w:r>
    </w:p>
    <w:p>
      <w:pPr>
        <w:adjustRightInd w:val="0"/>
        <w:snapToGrid w:val="0"/>
        <w:spacing w:line="360" w:lineRule="auto"/>
        <w:ind w:firstLine="420" w:firstLineChars="200"/>
        <w:jc w:val="left"/>
        <w:rPr>
          <w:rFonts w:hint="eastAsia" w:ascii="宋体" w:hAnsi="宋体" w:cs="宋体"/>
          <w:bCs/>
          <w:szCs w:val="21"/>
          <w:highlight w:val="none"/>
        </w:rPr>
      </w:pPr>
      <w:r>
        <w:rPr>
          <w:rFonts w:hint="eastAsia" w:ascii="宋体" w:hAnsi="宋体" w:cs="宋体"/>
          <w:bCs/>
          <w:szCs w:val="21"/>
          <w:highlight w:val="none"/>
        </w:rPr>
        <w:t xml:space="preserve">7.我方在此声明，所递交的投标文件及有关资料内容完整、真实和准确，且不存在第二章“投标人须知”第1.4.3项规定的任何一种情形。同时我方承诺接受招标文件及附件、澄清及修改通知中所有的内容。 </w:t>
      </w:r>
    </w:p>
    <w:p>
      <w:pPr>
        <w:adjustRightInd w:val="0"/>
        <w:snapToGrid w:val="0"/>
        <w:spacing w:line="360" w:lineRule="auto"/>
        <w:ind w:firstLine="420" w:firstLineChars="200"/>
        <w:jc w:val="left"/>
        <w:rPr>
          <w:rFonts w:hint="eastAsia" w:ascii="宋体" w:hAnsi="宋体" w:cs="宋体"/>
          <w:bCs/>
          <w:szCs w:val="21"/>
          <w:highlight w:val="none"/>
        </w:rPr>
      </w:pPr>
      <w:r>
        <w:rPr>
          <w:rFonts w:hint="eastAsia" w:ascii="宋体" w:hAnsi="宋体" w:cs="宋体"/>
          <w:bCs/>
          <w:szCs w:val="21"/>
          <w:highlight w:val="none"/>
        </w:rPr>
        <w:t>8.</w:t>
      </w:r>
      <w:r>
        <w:rPr>
          <w:rFonts w:hint="eastAsia" w:ascii="宋体" w:hAnsi="宋体" w:cs="宋体"/>
          <w:bCs/>
          <w:szCs w:val="21"/>
          <w:highlight w:val="none"/>
          <w:u w:val="single"/>
        </w:rPr>
        <w:t xml:space="preserve">         （其他补充说明）        </w:t>
      </w:r>
      <w:r>
        <w:rPr>
          <w:rFonts w:hint="eastAsia" w:ascii="宋体" w:hAnsi="宋体" w:cs="宋体"/>
          <w:bCs/>
          <w:szCs w:val="21"/>
          <w:highlight w:val="none"/>
        </w:rPr>
        <w:t>。</w:t>
      </w:r>
    </w:p>
    <w:p>
      <w:pPr>
        <w:adjustRightInd w:val="0"/>
        <w:snapToGrid w:val="0"/>
        <w:spacing w:line="360" w:lineRule="auto"/>
        <w:ind w:firstLine="420" w:firstLineChars="200"/>
        <w:jc w:val="left"/>
        <w:rPr>
          <w:rFonts w:hint="eastAsia" w:ascii="宋体" w:hAnsi="宋体" w:cs="宋体"/>
          <w:bCs/>
          <w:szCs w:val="21"/>
          <w:highlight w:val="none"/>
        </w:rPr>
      </w:pPr>
    </w:p>
    <w:p>
      <w:pPr>
        <w:tabs>
          <w:tab w:val="left" w:pos="7140"/>
          <w:tab w:val="left" w:pos="7560"/>
          <w:tab w:val="left" w:pos="8300"/>
        </w:tabs>
        <w:autoSpaceDE w:val="0"/>
        <w:autoSpaceDN w:val="0"/>
        <w:adjustRightInd w:val="0"/>
        <w:snapToGrid w:val="0"/>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投  标  人：</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rPr>
        <w:t xml:space="preserve">（盖单位公章） </w:t>
      </w:r>
    </w:p>
    <w:p>
      <w:pPr>
        <w:tabs>
          <w:tab w:val="left" w:pos="7140"/>
          <w:tab w:val="left" w:pos="7560"/>
          <w:tab w:val="left" w:pos="8300"/>
        </w:tabs>
        <w:autoSpaceDE w:val="0"/>
        <w:autoSpaceDN w:val="0"/>
        <w:adjustRightInd w:val="0"/>
        <w:snapToGrid w:val="0"/>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法定代表人或其委托代理人：</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rPr>
        <w:t>（签名或盖章）</w:t>
      </w:r>
    </w:p>
    <w:p>
      <w:pPr>
        <w:tabs>
          <w:tab w:val="left" w:pos="7035"/>
          <w:tab w:val="left" w:pos="7560"/>
          <w:tab w:val="left" w:pos="8300"/>
        </w:tabs>
        <w:autoSpaceDE w:val="0"/>
        <w:autoSpaceDN w:val="0"/>
        <w:adjustRightInd w:val="0"/>
        <w:snapToGrid w:val="0"/>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地    址：</w:t>
      </w:r>
      <w:r>
        <w:rPr>
          <w:rFonts w:hint="eastAsia" w:ascii="宋体" w:hAnsi="宋体" w:cs="宋体"/>
          <w:snapToGrid w:val="0"/>
          <w:kern w:val="0"/>
          <w:szCs w:val="21"/>
          <w:highlight w:val="none"/>
          <w:u w:val="single"/>
        </w:rPr>
        <w:t xml:space="preserve">                                                                             </w:t>
      </w:r>
    </w:p>
    <w:p>
      <w:pPr>
        <w:tabs>
          <w:tab w:val="left" w:pos="8300"/>
        </w:tabs>
        <w:autoSpaceDE w:val="0"/>
        <w:autoSpaceDN w:val="0"/>
        <w:adjustRightInd w:val="0"/>
        <w:snapToGrid w:val="0"/>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网    址：</w:t>
      </w:r>
      <w:r>
        <w:rPr>
          <w:rFonts w:hint="eastAsia" w:ascii="宋体" w:hAnsi="宋体" w:cs="宋体"/>
          <w:snapToGrid w:val="0"/>
          <w:kern w:val="0"/>
          <w:szCs w:val="21"/>
          <w:highlight w:val="none"/>
          <w:u w:val="single"/>
        </w:rPr>
        <w:t xml:space="preserve">                                                                            </w:t>
      </w:r>
    </w:p>
    <w:p>
      <w:pPr>
        <w:tabs>
          <w:tab w:val="left" w:pos="8300"/>
        </w:tabs>
        <w:autoSpaceDE w:val="0"/>
        <w:autoSpaceDN w:val="0"/>
        <w:adjustRightInd w:val="0"/>
        <w:snapToGrid w:val="0"/>
        <w:spacing w:line="360" w:lineRule="auto"/>
        <w:ind w:firstLine="420" w:firstLineChars="200"/>
        <w:jc w:val="left"/>
        <w:rPr>
          <w:rFonts w:hint="eastAsia" w:ascii="宋体" w:hAnsi="宋体" w:cs="宋体"/>
          <w:snapToGrid w:val="0"/>
          <w:kern w:val="0"/>
          <w:szCs w:val="21"/>
          <w:highlight w:val="none"/>
          <w:u w:val="single"/>
        </w:rPr>
      </w:pPr>
      <w:r>
        <w:rPr>
          <w:rFonts w:hint="eastAsia" w:ascii="宋体" w:hAnsi="宋体" w:cs="宋体"/>
          <w:snapToGrid w:val="0"/>
          <w:kern w:val="0"/>
          <w:szCs w:val="21"/>
          <w:highlight w:val="none"/>
        </w:rPr>
        <w:t>单位电话（座机）：</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rPr>
        <w:t>委托代理人电话（手机）：</w:t>
      </w:r>
      <w:r>
        <w:rPr>
          <w:rFonts w:hint="eastAsia" w:ascii="宋体" w:hAnsi="宋体" w:cs="宋体"/>
          <w:snapToGrid w:val="0"/>
          <w:kern w:val="0"/>
          <w:szCs w:val="21"/>
          <w:highlight w:val="none"/>
          <w:u w:val="single"/>
        </w:rPr>
        <w:t xml:space="preserve">                      </w:t>
      </w:r>
    </w:p>
    <w:p>
      <w:pPr>
        <w:tabs>
          <w:tab w:val="left" w:pos="8300"/>
        </w:tabs>
        <w:autoSpaceDE w:val="0"/>
        <w:autoSpaceDN w:val="0"/>
        <w:adjustRightInd w:val="0"/>
        <w:snapToGrid w:val="0"/>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传    真：</w:t>
      </w:r>
      <w:r>
        <w:rPr>
          <w:rFonts w:hint="eastAsia" w:ascii="宋体" w:hAnsi="宋体" w:cs="宋体"/>
          <w:snapToGrid w:val="0"/>
          <w:kern w:val="0"/>
          <w:szCs w:val="21"/>
          <w:highlight w:val="none"/>
          <w:u w:val="single"/>
        </w:rPr>
        <w:t xml:space="preserve">                                                                            </w:t>
      </w:r>
    </w:p>
    <w:p>
      <w:pPr>
        <w:tabs>
          <w:tab w:val="left" w:pos="8300"/>
        </w:tabs>
        <w:autoSpaceDE w:val="0"/>
        <w:autoSpaceDN w:val="0"/>
        <w:adjustRightInd w:val="0"/>
        <w:snapToGrid w:val="0"/>
        <w:spacing w:line="360" w:lineRule="auto"/>
        <w:ind w:firstLine="420" w:firstLineChars="200"/>
        <w:jc w:val="left"/>
        <w:rPr>
          <w:rFonts w:hint="eastAsia" w:ascii="宋体" w:hAnsi="宋体" w:cs="宋体"/>
          <w:snapToGrid w:val="0"/>
          <w:kern w:val="0"/>
          <w:szCs w:val="21"/>
          <w:highlight w:val="none"/>
          <w:u w:val="single"/>
        </w:rPr>
      </w:pPr>
      <w:r>
        <w:rPr>
          <w:rFonts w:hint="eastAsia" w:ascii="宋体" w:hAnsi="宋体" w:cs="宋体"/>
          <w:snapToGrid w:val="0"/>
          <w:kern w:val="0"/>
          <w:szCs w:val="21"/>
          <w:highlight w:val="none"/>
        </w:rPr>
        <w:t>邮政编码：</w:t>
      </w:r>
      <w:r>
        <w:rPr>
          <w:rFonts w:hint="eastAsia" w:ascii="宋体" w:hAnsi="宋体" w:cs="宋体"/>
          <w:snapToGrid w:val="0"/>
          <w:kern w:val="0"/>
          <w:szCs w:val="21"/>
          <w:highlight w:val="none"/>
          <w:u w:val="single"/>
        </w:rPr>
        <w:t xml:space="preserve">                                                                            </w:t>
      </w:r>
    </w:p>
    <w:p>
      <w:pPr>
        <w:tabs>
          <w:tab w:val="left" w:pos="8300"/>
        </w:tabs>
        <w:autoSpaceDE w:val="0"/>
        <w:autoSpaceDN w:val="0"/>
        <w:adjustRightInd w:val="0"/>
        <w:snapToGrid w:val="0"/>
        <w:spacing w:line="360" w:lineRule="auto"/>
        <w:ind w:firstLine="420" w:firstLineChars="200"/>
        <w:jc w:val="left"/>
        <w:rPr>
          <w:rFonts w:hint="eastAsia" w:ascii="宋体" w:hAnsi="宋体" w:cs="宋体"/>
          <w:snapToGrid w:val="0"/>
          <w:kern w:val="0"/>
          <w:szCs w:val="21"/>
          <w:highlight w:val="none"/>
        </w:rPr>
      </w:pPr>
    </w:p>
    <w:p>
      <w:pPr>
        <w:autoSpaceDE w:val="0"/>
        <w:autoSpaceDN w:val="0"/>
        <w:adjustRightInd w:val="0"/>
        <w:snapToGrid w:val="0"/>
        <w:spacing w:line="360" w:lineRule="auto"/>
        <w:ind w:firstLine="6930" w:firstLineChars="3300"/>
        <w:jc w:val="left"/>
        <w:rPr>
          <w:rFonts w:hint="eastAsia" w:ascii="宋体" w:hAnsi="宋体" w:cs="宋体"/>
          <w:snapToGrid w:val="0"/>
          <w:kern w:val="0"/>
          <w:szCs w:val="21"/>
          <w:highlight w:val="none"/>
        </w:rPr>
      </w:pPr>
      <w:r>
        <w:rPr>
          <w:rFonts w:hint="eastAsia" w:ascii="宋体" w:hAnsi="宋体" w:cs="宋体"/>
          <w:kern w:val="0"/>
          <w:szCs w:val="21"/>
          <w:highlight w:val="none"/>
          <w:u w:val="single"/>
        </w:rPr>
        <w:t xml:space="preserve">    </w:t>
      </w:r>
      <w:r>
        <w:rPr>
          <w:rFonts w:hint="eastAsia" w:ascii="宋体" w:hAnsi="宋体" w:cs="宋体"/>
          <w:kern w:val="0"/>
          <w:szCs w:val="21"/>
          <w:highlight w:val="none"/>
        </w:rPr>
        <w:t>年</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月</w:t>
      </w:r>
      <w:r>
        <w:rPr>
          <w:rFonts w:hint="eastAsia" w:ascii="宋体" w:hAnsi="宋体" w:cs="宋体"/>
          <w:kern w:val="0"/>
          <w:szCs w:val="21"/>
          <w:highlight w:val="none"/>
          <w:u w:val="single"/>
        </w:rPr>
        <w:t xml:space="preserve">    </w:t>
      </w:r>
      <w:r>
        <w:rPr>
          <w:rFonts w:ascii="宋体" w:hAnsi="宋体"/>
          <w:kern w:val="0"/>
          <w:szCs w:val="21"/>
          <w:highlight w:val="none"/>
        </w:rPr>
        <w:t>日</w:t>
      </w:r>
    </w:p>
    <w:p>
      <w:pPr>
        <w:adjustRightInd w:val="0"/>
        <w:snapToGrid w:val="0"/>
        <w:spacing w:line="360" w:lineRule="auto"/>
        <w:ind w:firstLine="0" w:firstLineChars="0"/>
        <w:jc w:val="left"/>
        <w:rPr>
          <w:rFonts w:hint="eastAsia" w:hAnsi="宋体" w:cs="黑体"/>
          <w:b/>
          <w:bCs/>
          <w:sz w:val="28"/>
          <w:szCs w:val="28"/>
          <w:highlight w:val="none"/>
        </w:rPr>
      </w:pPr>
      <w:r>
        <w:rPr>
          <w:rFonts w:hint="eastAsia" w:ascii="宋体" w:hAnsi="宋体" w:cs="宋体"/>
          <w:spacing w:val="2"/>
          <w:kern w:val="0"/>
          <w:position w:val="-1"/>
          <w:sz w:val="32"/>
          <w:szCs w:val="32"/>
          <w:highlight w:val="none"/>
        </w:rPr>
        <w:br w:type="page"/>
      </w:r>
      <w:r>
        <w:rPr>
          <w:rFonts w:hint="eastAsia" w:hAnsi="宋体" w:cs="黑体"/>
          <w:b/>
          <w:bCs/>
          <w:sz w:val="28"/>
          <w:szCs w:val="28"/>
          <w:highlight w:val="none"/>
        </w:rPr>
        <w:t>（二）法定代表人身份证明或附有法定代表人身份证明的授权委托书</w:t>
      </w:r>
    </w:p>
    <w:p>
      <w:pPr>
        <w:spacing w:line="480" w:lineRule="auto"/>
        <w:jc w:val="center"/>
        <w:rPr>
          <w:rFonts w:ascii="宋体" w:hAnsi="宋体"/>
          <w:sz w:val="28"/>
          <w:highlight w:val="none"/>
        </w:rPr>
      </w:pPr>
      <w:r>
        <w:rPr>
          <w:rFonts w:hint="eastAsia" w:ascii="宋体" w:hAnsi="宋体"/>
          <w:sz w:val="28"/>
          <w:highlight w:val="none"/>
        </w:rPr>
        <w:t>法定代表人身份证明</w:t>
      </w:r>
    </w:p>
    <w:p>
      <w:pPr>
        <w:spacing w:line="480" w:lineRule="auto"/>
        <w:jc w:val="center"/>
        <w:rPr>
          <w:rFonts w:ascii="宋体" w:hAnsi="宋体"/>
          <w:highlight w:val="none"/>
        </w:rPr>
      </w:pPr>
    </w:p>
    <w:p>
      <w:pPr>
        <w:tabs>
          <w:tab w:val="left" w:pos="556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投标人名称：</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单位性质：</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地</w:t>
      </w:r>
      <w:r>
        <w:rPr>
          <w:rFonts w:hint="eastAsia" w:ascii="宋体" w:hAnsi="宋体"/>
          <w:kern w:val="0"/>
          <w:szCs w:val="21"/>
          <w:highlight w:val="none"/>
        </w:rPr>
        <w:t xml:space="preserve">    </w:t>
      </w:r>
      <w:r>
        <w:rPr>
          <w:rFonts w:ascii="宋体" w:hAnsi="宋体"/>
          <w:kern w:val="0"/>
          <w:szCs w:val="21"/>
          <w:highlight w:val="none"/>
        </w:rPr>
        <w:t>址：</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highlight w:val="none"/>
        </w:rPr>
      </w:pPr>
      <w:r>
        <w:rPr>
          <w:rFonts w:ascii="宋体" w:hAnsi="宋体"/>
          <w:kern w:val="0"/>
          <w:szCs w:val="21"/>
          <w:highlight w:val="none"/>
        </w:rPr>
        <w:t>成立时间：</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经营期限：</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姓名：</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性别</w:t>
      </w:r>
      <w:r>
        <w:rPr>
          <w:rFonts w:ascii="宋体" w:hAnsi="宋体"/>
          <w:spacing w:val="-1"/>
          <w:kern w:val="0"/>
          <w:szCs w:val="21"/>
          <w:highlight w:val="none"/>
        </w:rPr>
        <w:t>：</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spacing w:val="-1"/>
          <w:kern w:val="0"/>
          <w:szCs w:val="21"/>
          <w:highlight w:val="none"/>
        </w:rPr>
        <w:t>年</w:t>
      </w:r>
      <w:r>
        <w:rPr>
          <w:rFonts w:ascii="宋体" w:hAnsi="宋体"/>
          <w:kern w:val="0"/>
          <w:szCs w:val="21"/>
          <w:highlight w:val="none"/>
        </w:rPr>
        <w:t>龄：</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职务：</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系</w:t>
      </w:r>
      <w:r>
        <w:rPr>
          <w:rFonts w:hint="eastAsia" w:ascii="宋体" w:hAnsi="宋体"/>
          <w:kern w:val="0"/>
          <w:szCs w:val="21"/>
          <w:highlight w:val="none"/>
          <w:u w:val="single"/>
        </w:rPr>
        <w:t xml:space="preserve">                                                        </w:t>
      </w:r>
      <w:r>
        <w:rPr>
          <w:rFonts w:ascii="宋体" w:hAnsi="宋体"/>
          <w:kern w:val="0"/>
          <w:szCs w:val="21"/>
          <w:highlight w:val="none"/>
          <w:u w:val="single"/>
        </w:rPr>
        <w:t xml:space="preserve"> （投标人名称）</w:t>
      </w:r>
      <w:r>
        <w:rPr>
          <w:rFonts w:ascii="宋体" w:hAnsi="宋体"/>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特此证明。</w:t>
      </w:r>
    </w:p>
    <w:p>
      <w:pPr>
        <w:autoSpaceDE w:val="0"/>
        <w:autoSpaceDN w:val="0"/>
        <w:adjustRightInd w:val="0"/>
        <w:snapToGrid w:val="0"/>
        <w:spacing w:line="480" w:lineRule="auto"/>
        <w:ind w:firstLine="810" w:firstLineChars="386"/>
        <w:jc w:val="left"/>
        <w:rPr>
          <w:rFonts w:ascii="宋体" w:hAnsi="宋体"/>
          <w:kern w:val="0"/>
          <w:szCs w:val="21"/>
          <w:highlight w:val="none"/>
        </w:rPr>
      </w:pPr>
      <w:r>
        <w:rPr>
          <w:rFonts w:hint="eastAsia" w:ascii="宋体" w:hAnsi="宋体"/>
          <w:kern w:val="0"/>
          <w:szCs w:val="21"/>
          <w:highlight w:val="none"/>
        </w:rPr>
        <w:t>附：法定代表人身份证复印件（双面）</w:t>
      </w:r>
    </w:p>
    <w:p>
      <w:pPr>
        <w:pStyle w:val="2"/>
        <w:spacing w:after="0" w:line="360" w:lineRule="auto"/>
        <w:rPr>
          <w:rFonts w:ascii="宋体" w:hAnsi="宋体"/>
          <w:szCs w:val="21"/>
          <w:highlight w:val="none"/>
        </w:rPr>
      </w:pPr>
    </w:p>
    <w:p>
      <w:pPr>
        <w:pStyle w:val="2"/>
        <w:spacing w:after="0" w:line="360" w:lineRule="auto"/>
        <w:rPr>
          <w:rFonts w:ascii="宋体" w:hAnsi="宋体"/>
          <w:szCs w:val="21"/>
          <w:highlight w:val="none"/>
        </w:rPr>
      </w:pPr>
    </w:p>
    <w:p>
      <w:pPr>
        <w:pStyle w:val="2"/>
        <w:spacing w:after="0" w:line="360" w:lineRule="auto"/>
        <w:rPr>
          <w:rFonts w:ascii="宋体" w:hAnsi="宋体"/>
          <w:szCs w:val="21"/>
          <w:highlight w:val="none"/>
        </w:rPr>
      </w:pPr>
    </w:p>
    <w:p>
      <w:pPr>
        <w:pStyle w:val="2"/>
        <w:spacing w:after="0" w:line="360" w:lineRule="auto"/>
        <w:rPr>
          <w:rFonts w:ascii="宋体" w:hAnsi="宋体"/>
          <w:szCs w:val="21"/>
          <w:highlight w:val="none"/>
        </w:rPr>
      </w:pPr>
    </w:p>
    <w:p>
      <w:pPr>
        <w:pStyle w:val="2"/>
        <w:spacing w:after="0" w:line="360" w:lineRule="auto"/>
        <w:rPr>
          <w:rFonts w:ascii="宋体" w:hAnsi="宋体"/>
          <w:szCs w:val="21"/>
          <w:highlight w:val="none"/>
        </w:rPr>
      </w:pPr>
    </w:p>
    <w:p>
      <w:pPr>
        <w:pStyle w:val="2"/>
        <w:spacing w:after="0" w:line="360" w:lineRule="auto"/>
        <w:rPr>
          <w:rFonts w:ascii="宋体" w:hAnsi="宋体"/>
          <w:szCs w:val="21"/>
          <w:highlight w:val="none"/>
        </w:rPr>
      </w:pPr>
    </w:p>
    <w:p>
      <w:pPr>
        <w:autoSpaceDE w:val="0"/>
        <w:autoSpaceDN w:val="0"/>
        <w:adjustRightInd w:val="0"/>
        <w:snapToGrid w:val="0"/>
        <w:spacing w:line="480" w:lineRule="auto"/>
        <w:ind w:firstLine="420" w:firstLineChars="200"/>
        <w:jc w:val="right"/>
        <w:rPr>
          <w:rFonts w:ascii="宋体" w:hAnsi="宋体"/>
          <w:kern w:val="0"/>
          <w:szCs w:val="21"/>
          <w:highlight w:val="none"/>
        </w:rPr>
      </w:pPr>
      <w:r>
        <w:rPr>
          <w:rFonts w:ascii="宋体" w:hAnsi="宋体"/>
          <w:kern w:val="0"/>
          <w:szCs w:val="21"/>
          <w:highlight w:val="none"/>
        </w:rPr>
        <w:t>投标</w:t>
      </w:r>
      <w:r>
        <w:rPr>
          <w:rFonts w:ascii="宋体" w:hAnsi="宋体"/>
          <w:spacing w:val="-1"/>
          <w:kern w:val="0"/>
          <w:szCs w:val="21"/>
          <w:highlight w:val="none"/>
        </w:rPr>
        <w:t>人</w:t>
      </w:r>
      <w:r>
        <w:rPr>
          <w:rFonts w:ascii="宋体" w:hAnsi="宋体"/>
          <w:kern w:val="0"/>
          <w:szCs w:val="21"/>
          <w:highlight w:val="none"/>
        </w:rPr>
        <w:t>：</w:t>
      </w:r>
      <w:r>
        <w:rPr>
          <w:rFonts w:ascii="宋体" w:hAnsi="宋体"/>
          <w:w w:val="200"/>
          <w:kern w:val="0"/>
          <w:szCs w:val="21"/>
          <w:highlight w:val="none"/>
          <w:u w:val="single"/>
        </w:rPr>
        <w:t xml:space="preserve">              </w:t>
      </w:r>
      <w:r>
        <w:rPr>
          <w:rFonts w:ascii="宋体" w:hAnsi="宋体"/>
          <w:kern w:val="0"/>
          <w:szCs w:val="21"/>
          <w:highlight w:val="none"/>
          <w:u w:val="single"/>
        </w:rPr>
        <w:tab/>
      </w:r>
      <w:r>
        <w:rPr>
          <w:rFonts w:ascii="宋体" w:hAnsi="宋体"/>
          <w:spacing w:val="-1"/>
          <w:kern w:val="0"/>
          <w:szCs w:val="21"/>
          <w:highlight w:val="none"/>
        </w:rPr>
        <w:t>（</w:t>
      </w:r>
      <w:r>
        <w:rPr>
          <w:rFonts w:ascii="宋体" w:hAnsi="宋体"/>
          <w:kern w:val="0"/>
          <w:szCs w:val="21"/>
          <w:highlight w:val="none"/>
        </w:rPr>
        <w:t>盖单位</w:t>
      </w:r>
      <w:r>
        <w:rPr>
          <w:rFonts w:hint="eastAsia" w:ascii="宋体" w:hAnsi="宋体"/>
          <w:kern w:val="0"/>
          <w:szCs w:val="21"/>
          <w:highlight w:val="none"/>
        </w:rPr>
        <w:t>公章</w:t>
      </w:r>
      <w:r>
        <w:rPr>
          <w:rFonts w:ascii="宋体" w:hAnsi="宋体"/>
          <w:kern w:val="0"/>
          <w:szCs w:val="21"/>
          <w:highlight w:val="none"/>
        </w:rPr>
        <w:t>）</w:t>
      </w:r>
    </w:p>
    <w:p>
      <w:pPr>
        <w:autoSpaceDE w:val="0"/>
        <w:autoSpaceDN w:val="0"/>
        <w:adjustRightInd w:val="0"/>
        <w:snapToGrid w:val="0"/>
        <w:spacing w:line="480" w:lineRule="auto"/>
        <w:jc w:val="left"/>
        <w:rPr>
          <w:rFonts w:ascii="宋体" w:hAnsi="宋体"/>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highlight w:val="none"/>
        </w:rPr>
      </w:pP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r>
        <w:rPr>
          <w:rFonts w:hint="eastAsia" w:ascii="宋体" w:hAnsi="宋体"/>
          <w:kern w:val="0"/>
          <w:szCs w:val="21"/>
          <w:highlight w:val="none"/>
        </w:rPr>
        <w:t xml:space="preserve">  </w:t>
      </w:r>
    </w:p>
    <w:p>
      <w:pPr>
        <w:autoSpaceDE w:val="0"/>
        <w:autoSpaceDN w:val="0"/>
        <w:adjustRightInd w:val="0"/>
        <w:snapToGrid w:val="0"/>
        <w:spacing w:line="360" w:lineRule="auto"/>
        <w:jc w:val="left"/>
        <w:rPr>
          <w:rFonts w:ascii="宋体" w:hAnsi="宋体"/>
          <w:kern w:val="0"/>
          <w:highlight w:val="none"/>
        </w:rPr>
      </w:pPr>
    </w:p>
    <w:p>
      <w:pPr>
        <w:spacing w:line="360" w:lineRule="auto"/>
        <w:ind w:firstLine="420" w:firstLineChars="200"/>
        <w:rPr>
          <w:rFonts w:ascii="宋体" w:hAnsi="宋体"/>
          <w:highlight w:val="none"/>
        </w:rPr>
      </w:pPr>
      <w:r>
        <w:rPr>
          <w:rFonts w:ascii="宋体" w:hAnsi="宋体"/>
          <w:highlight w:val="none"/>
        </w:rPr>
        <w:t>注：法定代表人身份证明需按上述格式填写完整，不可缺少内容。在此基础上增加内容的不影响其有效性。</w:t>
      </w:r>
    </w:p>
    <w:p>
      <w:pPr>
        <w:autoSpaceDE w:val="0"/>
        <w:autoSpaceDN w:val="0"/>
        <w:adjustRightInd w:val="0"/>
        <w:snapToGrid w:val="0"/>
        <w:spacing w:line="360" w:lineRule="auto"/>
        <w:jc w:val="left"/>
        <w:rPr>
          <w:rFonts w:ascii="宋体" w:hAnsi="宋体"/>
          <w:kern w:val="0"/>
          <w:highlight w:val="none"/>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0"/>
          <w:szCs w:val="20"/>
          <w:highlight w:val="none"/>
        </w:rPr>
      </w:pPr>
      <w:r>
        <w:rPr>
          <w:rFonts w:ascii="宋体" w:hAnsi="宋体"/>
          <w:b/>
          <w:kern w:val="0"/>
          <w:sz w:val="28"/>
          <w:szCs w:val="28"/>
          <w:highlight w:val="none"/>
        </w:rPr>
        <w:br w:type="page"/>
      </w:r>
      <w:r>
        <w:rPr>
          <w:rFonts w:ascii="宋体" w:hAnsi="宋体"/>
          <w:snapToGrid w:val="0"/>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highlight w:val="none"/>
        </w:rPr>
      </w:pPr>
      <w:r>
        <w:rPr>
          <w:rFonts w:ascii="宋体" w:hAnsi="宋体"/>
          <w:kern w:val="0"/>
          <w:szCs w:val="21"/>
          <w:highlight w:val="none"/>
        </w:rPr>
        <w:t>本人</w:t>
      </w:r>
      <w:r>
        <w:rPr>
          <w:rFonts w:hint="eastAsia" w:ascii="宋体" w:hAnsi="宋体"/>
          <w:w w:val="200"/>
          <w:kern w:val="0"/>
          <w:szCs w:val="21"/>
          <w:highlight w:val="none"/>
          <w:u w:val="single"/>
        </w:rPr>
        <w:t xml:space="preserve">    </w:t>
      </w:r>
      <w:r>
        <w:rPr>
          <w:rFonts w:ascii="宋体" w:hAnsi="宋体"/>
          <w:kern w:val="0"/>
          <w:szCs w:val="21"/>
          <w:highlight w:val="none"/>
          <w:u w:val="single"/>
        </w:rPr>
        <w:t>（姓名）</w:t>
      </w:r>
      <w:r>
        <w:rPr>
          <w:rFonts w:ascii="宋体" w:hAnsi="宋体"/>
          <w:kern w:val="0"/>
          <w:szCs w:val="21"/>
          <w:highlight w:val="none"/>
        </w:rPr>
        <w:t>系</w:t>
      </w:r>
      <w:r>
        <w:rPr>
          <w:rFonts w:hint="eastAsia" w:ascii="宋体" w:hAnsi="宋体"/>
          <w:w w:val="200"/>
          <w:kern w:val="0"/>
          <w:szCs w:val="21"/>
          <w:highlight w:val="none"/>
          <w:u w:val="single"/>
        </w:rPr>
        <w:t xml:space="preserve">        </w:t>
      </w:r>
      <w:r>
        <w:rPr>
          <w:rFonts w:ascii="宋体" w:hAnsi="宋体"/>
          <w:kern w:val="0"/>
          <w:szCs w:val="21"/>
          <w:highlight w:val="none"/>
          <w:u w:val="single"/>
        </w:rPr>
        <w:t>（</w:t>
      </w:r>
      <w:r>
        <w:rPr>
          <w:rFonts w:ascii="宋体" w:hAnsi="宋体"/>
          <w:spacing w:val="-1"/>
          <w:kern w:val="0"/>
          <w:szCs w:val="21"/>
          <w:highlight w:val="none"/>
          <w:u w:val="single"/>
        </w:rPr>
        <w:t>投</w:t>
      </w:r>
      <w:r>
        <w:rPr>
          <w:rFonts w:ascii="宋体" w:hAnsi="宋体"/>
          <w:kern w:val="0"/>
          <w:szCs w:val="21"/>
          <w:highlight w:val="none"/>
          <w:u w:val="single"/>
        </w:rPr>
        <w:t>标人名称</w:t>
      </w:r>
      <w:r>
        <w:rPr>
          <w:rFonts w:ascii="宋体" w:hAnsi="宋体"/>
          <w:spacing w:val="1"/>
          <w:kern w:val="0"/>
          <w:szCs w:val="21"/>
          <w:highlight w:val="none"/>
          <w:u w:val="single"/>
        </w:rPr>
        <w:t>）</w:t>
      </w:r>
      <w:r>
        <w:rPr>
          <w:rFonts w:ascii="宋体" w:hAnsi="宋体"/>
          <w:kern w:val="0"/>
          <w:szCs w:val="21"/>
          <w:highlight w:val="none"/>
        </w:rPr>
        <w:t>的法定代</w:t>
      </w:r>
      <w:r>
        <w:rPr>
          <w:rFonts w:ascii="宋体" w:hAnsi="宋体"/>
          <w:spacing w:val="1"/>
          <w:kern w:val="0"/>
          <w:szCs w:val="21"/>
          <w:highlight w:val="none"/>
        </w:rPr>
        <w:t>表</w:t>
      </w:r>
      <w:r>
        <w:rPr>
          <w:rFonts w:ascii="宋体" w:hAnsi="宋体"/>
          <w:kern w:val="0"/>
          <w:szCs w:val="21"/>
          <w:highlight w:val="none"/>
        </w:rPr>
        <w:t>人，现委托</w:t>
      </w:r>
      <w:r>
        <w:rPr>
          <w:rFonts w:hint="eastAsia" w:ascii="宋体" w:hAnsi="宋体"/>
          <w:w w:val="200"/>
          <w:kern w:val="0"/>
          <w:szCs w:val="21"/>
          <w:highlight w:val="none"/>
          <w:u w:val="single"/>
        </w:rPr>
        <w:t xml:space="preserve">    </w:t>
      </w:r>
      <w:r>
        <w:rPr>
          <w:rFonts w:ascii="宋体" w:hAnsi="宋体"/>
          <w:kern w:val="0"/>
          <w:szCs w:val="21"/>
          <w:highlight w:val="none"/>
          <w:u w:val="single"/>
        </w:rPr>
        <w:t>（姓名）</w:t>
      </w:r>
      <w:r>
        <w:rPr>
          <w:rFonts w:ascii="宋体" w:hAnsi="宋体"/>
          <w:kern w:val="0"/>
          <w:szCs w:val="21"/>
          <w:highlight w:val="none"/>
        </w:rPr>
        <w:t>为我方代理人。代理人根据授权，以我方名义签署、澄清、说明、补正、递交、撤回、修改</w:t>
      </w:r>
      <w:r>
        <w:rPr>
          <w:rFonts w:hint="eastAsia" w:ascii="宋体" w:hAnsi="宋体"/>
          <w:w w:val="200"/>
          <w:kern w:val="0"/>
          <w:szCs w:val="21"/>
          <w:highlight w:val="none"/>
          <w:u w:val="single"/>
        </w:rPr>
        <w:t xml:space="preserve">        </w:t>
      </w:r>
      <w:r>
        <w:rPr>
          <w:rFonts w:ascii="宋体" w:hAnsi="宋体"/>
          <w:kern w:val="0"/>
          <w:szCs w:val="21"/>
          <w:highlight w:val="none"/>
          <w:u w:val="single"/>
        </w:rPr>
        <w:t>（项</w:t>
      </w:r>
      <w:r>
        <w:rPr>
          <w:rFonts w:ascii="宋体" w:hAnsi="宋体"/>
          <w:spacing w:val="-1"/>
          <w:kern w:val="0"/>
          <w:szCs w:val="21"/>
          <w:highlight w:val="none"/>
          <w:u w:val="single"/>
        </w:rPr>
        <w:t>目</w:t>
      </w:r>
      <w:r>
        <w:rPr>
          <w:rFonts w:ascii="宋体" w:hAnsi="宋体"/>
          <w:kern w:val="0"/>
          <w:szCs w:val="21"/>
          <w:highlight w:val="none"/>
          <w:u w:val="single"/>
        </w:rPr>
        <w:t>名称）</w:t>
      </w:r>
      <w:r>
        <w:rPr>
          <w:rFonts w:ascii="宋体" w:hAnsi="宋体"/>
          <w:kern w:val="0"/>
          <w:szCs w:val="21"/>
          <w:highlight w:val="none"/>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委托</w:t>
      </w:r>
      <w:r>
        <w:rPr>
          <w:rFonts w:ascii="宋体" w:hAnsi="宋体"/>
          <w:spacing w:val="-1"/>
          <w:kern w:val="0"/>
          <w:szCs w:val="21"/>
          <w:highlight w:val="none"/>
        </w:rPr>
        <w:t>期</w:t>
      </w:r>
      <w:r>
        <w:rPr>
          <w:rFonts w:ascii="宋体" w:hAnsi="宋体"/>
          <w:kern w:val="0"/>
          <w:szCs w:val="21"/>
          <w:highlight w:val="none"/>
        </w:rPr>
        <w:t>限：</w:t>
      </w:r>
      <w:r>
        <w:rPr>
          <w:rFonts w:hint="eastAsia" w:ascii="宋体" w:hAnsi="宋体"/>
          <w:w w:val="200"/>
          <w:kern w:val="0"/>
          <w:szCs w:val="21"/>
          <w:highlight w:val="none"/>
          <w:u w:val="single"/>
        </w:rPr>
        <w:t xml:space="preserve">        </w:t>
      </w:r>
      <w:r>
        <w:rPr>
          <w:rFonts w:ascii="宋体" w:hAnsi="宋体"/>
          <w:kern w:val="0"/>
          <w:szCs w:val="21"/>
          <w:highlight w:val="none"/>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投  标  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ascii="宋体" w:hAnsi="宋体"/>
          <w:spacing w:val="-1"/>
          <w:kern w:val="0"/>
          <w:szCs w:val="21"/>
          <w:highlight w:val="none"/>
        </w:rPr>
        <w:t>盖单位</w:t>
      </w:r>
      <w:r>
        <w:rPr>
          <w:rFonts w:hint="eastAsia" w:ascii="宋体" w:hAnsi="宋体"/>
          <w:spacing w:val="-1"/>
          <w:kern w:val="0"/>
          <w:szCs w:val="21"/>
          <w:highlight w:val="none"/>
        </w:rPr>
        <w:t>公章</w:t>
      </w:r>
      <w:r>
        <w:rPr>
          <w:rFonts w:ascii="宋体" w:hAnsi="宋体"/>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法定代表人：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u w:val="single"/>
        </w:rPr>
      </w:pPr>
      <w:r>
        <w:rPr>
          <w:rFonts w:ascii="宋体" w:hAnsi="宋体"/>
          <w:kern w:val="0"/>
          <w:szCs w:val="21"/>
          <w:highlight w:val="none"/>
        </w:rPr>
        <w:t>身份证号码：</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委托代理人：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ascii="宋体" w:hAnsi="宋体"/>
          <w:w w:val="200"/>
          <w:kern w:val="0"/>
          <w:szCs w:val="21"/>
          <w:highlight w:val="none"/>
          <w:u w:val="single"/>
        </w:rPr>
      </w:pPr>
      <w:r>
        <w:rPr>
          <w:rFonts w:ascii="宋体" w:hAnsi="宋体"/>
          <w:kern w:val="0"/>
          <w:szCs w:val="21"/>
          <w:highlight w:val="none"/>
        </w:rPr>
        <w:t>身份证号码：</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kern w:val="0"/>
          <w:szCs w:val="21"/>
          <w:highlight w:val="none"/>
          <w:u w:val="single"/>
        </w:rPr>
      </w:pPr>
      <w:r>
        <w:rPr>
          <w:rFonts w:hint="eastAsia" w:ascii="宋体" w:hAnsi="宋体"/>
          <w:kern w:val="0"/>
          <w:szCs w:val="21"/>
          <w:highlight w:val="none"/>
        </w:rPr>
        <w:t>单位电话（座机）：</w:t>
      </w:r>
      <w:r>
        <w:rPr>
          <w:rFonts w:hint="eastAsia" w:ascii="宋体" w:hAnsi="宋体"/>
          <w:kern w:val="0"/>
          <w:szCs w:val="21"/>
          <w:highlight w:val="none"/>
          <w:u w:val="single"/>
        </w:rPr>
        <w:t xml:space="preserve">                              </w:t>
      </w:r>
    </w:p>
    <w:p>
      <w:pPr>
        <w:autoSpaceDE w:val="0"/>
        <w:autoSpaceDN w:val="0"/>
        <w:adjustRightInd w:val="0"/>
        <w:snapToGrid w:val="0"/>
        <w:spacing w:line="480" w:lineRule="auto"/>
        <w:ind w:firstLine="420" w:firstLineChars="200"/>
        <w:jc w:val="left"/>
        <w:rPr>
          <w:rFonts w:ascii="宋体" w:hAnsi="宋体"/>
          <w:kern w:val="0"/>
          <w:szCs w:val="21"/>
          <w:highlight w:val="none"/>
        </w:rPr>
      </w:pPr>
      <w:r>
        <w:rPr>
          <w:rFonts w:hint="eastAsia" w:ascii="宋体" w:hAnsi="宋体"/>
          <w:kern w:val="0"/>
          <w:szCs w:val="21"/>
          <w:highlight w:val="none"/>
        </w:rPr>
        <w:t>委托代理人电话（手机）：</w:t>
      </w:r>
      <w:r>
        <w:rPr>
          <w:rFonts w:hint="eastAsia" w:ascii="宋体" w:hAnsi="宋体"/>
          <w:kern w:val="0"/>
          <w:szCs w:val="21"/>
          <w:highlight w:val="none"/>
          <w:u w:val="single"/>
        </w:rPr>
        <w:t xml:space="preserve">                        </w:t>
      </w:r>
    </w:p>
    <w:p>
      <w:pPr>
        <w:autoSpaceDE w:val="0"/>
        <w:autoSpaceDN w:val="0"/>
        <w:adjustRightInd w:val="0"/>
        <w:snapToGrid w:val="0"/>
        <w:spacing w:line="480" w:lineRule="auto"/>
        <w:ind w:firstLine="810" w:firstLineChars="386"/>
        <w:jc w:val="left"/>
        <w:rPr>
          <w:rFonts w:ascii="宋体" w:hAnsi="宋体"/>
          <w:kern w:val="0"/>
          <w:szCs w:val="21"/>
          <w:highlight w:val="none"/>
        </w:rPr>
      </w:pPr>
      <w:r>
        <w:rPr>
          <w:rFonts w:hint="eastAsia" w:ascii="宋体" w:hAnsi="宋体"/>
          <w:kern w:val="0"/>
          <w:szCs w:val="21"/>
          <w:highlight w:val="none"/>
        </w:rPr>
        <w:t>附：法定代表人和委托代理人身份证复印件（双面）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highlight w:val="none"/>
        </w:rPr>
      </w:pPr>
      <w:r>
        <w:rPr>
          <w:rFonts w:hint="eastAsia" w:ascii="宋体" w:hAnsi="宋体"/>
          <w:w w:val="200"/>
          <w:kern w:val="0"/>
          <w:szCs w:val="21"/>
          <w:highlight w:val="none"/>
          <w:u w:val="single"/>
        </w:rPr>
        <w:t xml:space="preserve">  </w:t>
      </w:r>
      <w:r>
        <w:rPr>
          <w:rFonts w:ascii="宋体" w:hAnsi="宋体"/>
          <w:kern w:val="0"/>
          <w:szCs w:val="21"/>
          <w:highlight w:val="none"/>
        </w:rPr>
        <w:t>年</w:t>
      </w:r>
      <w:r>
        <w:rPr>
          <w:rFonts w:hint="eastAsia" w:ascii="宋体" w:hAnsi="宋体"/>
          <w:w w:val="200"/>
          <w:kern w:val="0"/>
          <w:szCs w:val="21"/>
          <w:highlight w:val="none"/>
          <w:u w:val="single"/>
        </w:rPr>
        <w:t xml:space="preserve">  </w:t>
      </w:r>
      <w:r>
        <w:rPr>
          <w:rFonts w:ascii="宋体" w:hAnsi="宋体"/>
          <w:kern w:val="0"/>
          <w:szCs w:val="21"/>
          <w:highlight w:val="none"/>
        </w:rPr>
        <w:t>月</w:t>
      </w:r>
      <w:r>
        <w:rPr>
          <w:rFonts w:hint="eastAsia" w:ascii="宋体" w:hAnsi="宋体"/>
          <w:w w:val="200"/>
          <w:kern w:val="0"/>
          <w:szCs w:val="21"/>
          <w:highlight w:val="none"/>
          <w:u w:val="single"/>
        </w:rPr>
        <w:t xml:space="preserve">  </w:t>
      </w:r>
      <w:r>
        <w:rPr>
          <w:rFonts w:ascii="宋体" w:hAnsi="宋体"/>
          <w:kern w:val="0"/>
          <w:szCs w:val="21"/>
          <w:highlight w:val="none"/>
        </w:rPr>
        <w:t>日</w:t>
      </w:r>
    </w:p>
    <w:p>
      <w:pPr>
        <w:tabs>
          <w:tab w:val="left" w:pos="4005"/>
          <w:tab w:val="left" w:pos="4100"/>
          <w:tab w:val="left" w:pos="5040"/>
        </w:tabs>
        <w:autoSpaceDE w:val="0"/>
        <w:autoSpaceDN w:val="0"/>
        <w:adjustRightInd w:val="0"/>
        <w:snapToGrid w:val="0"/>
        <w:spacing w:line="400" w:lineRule="exact"/>
        <w:ind w:firstLine="420" w:firstLineChars="200"/>
        <w:jc w:val="left"/>
        <w:rPr>
          <w:rFonts w:ascii="宋体" w:hAnsi="宋体"/>
          <w:kern w:val="0"/>
          <w:szCs w:val="21"/>
          <w:highlight w:val="none"/>
        </w:rPr>
      </w:pPr>
      <w:r>
        <w:rPr>
          <w:rFonts w:ascii="宋体" w:hAnsi="宋体"/>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4005"/>
          <w:tab w:val="left" w:pos="4100"/>
          <w:tab w:val="left" w:pos="5040"/>
        </w:tabs>
        <w:autoSpaceDE w:val="0"/>
        <w:autoSpaceDN w:val="0"/>
        <w:adjustRightInd w:val="0"/>
        <w:snapToGrid w:val="0"/>
        <w:spacing w:line="400" w:lineRule="exact"/>
        <w:ind w:firstLine="420" w:firstLineChars="200"/>
        <w:jc w:val="left"/>
        <w:rPr>
          <w:rFonts w:ascii="宋体" w:hAnsi="宋体"/>
          <w:kern w:val="0"/>
          <w:szCs w:val="21"/>
          <w:highlight w:val="none"/>
        </w:rPr>
      </w:pPr>
      <w:r>
        <w:rPr>
          <w:rFonts w:ascii="宋体" w:hAnsi="宋体"/>
          <w:kern w:val="0"/>
          <w:szCs w:val="21"/>
          <w:highlight w:val="none"/>
        </w:rPr>
        <w:t>2、法定代表人身份证明及授权委托书原件装入投标文件一并递交。另外须准备一份授权委托书原件在开标现场出具。</w:t>
      </w:r>
    </w:p>
    <w:p>
      <w:pPr>
        <w:tabs>
          <w:tab w:val="left" w:pos="4005"/>
          <w:tab w:val="left" w:pos="4100"/>
          <w:tab w:val="left" w:pos="5040"/>
        </w:tabs>
        <w:autoSpaceDE w:val="0"/>
        <w:autoSpaceDN w:val="0"/>
        <w:adjustRightInd w:val="0"/>
        <w:snapToGrid w:val="0"/>
        <w:spacing w:line="400" w:lineRule="exact"/>
        <w:ind w:firstLine="420" w:firstLineChars="200"/>
        <w:jc w:val="left"/>
        <w:rPr>
          <w:rFonts w:ascii="宋体" w:hAnsi="宋体"/>
          <w:kern w:val="0"/>
          <w:szCs w:val="21"/>
          <w:highlight w:val="none"/>
        </w:rPr>
      </w:pPr>
      <w:r>
        <w:rPr>
          <w:rFonts w:hint="eastAsia" w:ascii="宋体" w:hAnsi="宋体"/>
          <w:kern w:val="0"/>
          <w:szCs w:val="21"/>
          <w:highlight w:val="none"/>
        </w:rPr>
        <w:t>3、授权委托书</w:t>
      </w:r>
      <w:r>
        <w:rPr>
          <w:rFonts w:ascii="宋体" w:hAnsi="宋体"/>
          <w:kern w:val="0"/>
          <w:szCs w:val="21"/>
          <w:highlight w:val="none"/>
        </w:rPr>
        <w:t>需按上述格式填写完整，不可缺少内容。在此基础上增加内容的不影响其有效性。</w:t>
      </w:r>
    </w:p>
    <w:p>
      <w:pPr>
        <w:pStyle w:val="2"/>
        <w:rPr>
          <w:rFonts w:ascii="宋体" w:hAnsi="宋体"/>
          <w:kern w:val="0"/>
          <w:szCs w:val="21"/>
          <w:highlight w:val="none"/>
        </w:rPr>
      </w:pPr>
    </w:p>
    <w:p>
      <w:pPr>
        <w:tabs>
          <w:tab w:val="left" w:pos="4005"/>
          <w:tab w:val="left" w:pos="4100"/>
          <w:tab w:val="left" w:pos="5040"/>
        </w:tabs>
        <w:autoSpaceDE w:val="0"/>
        <w:autoSpaceDN w:val="0"/>
        <w:adjustRightInd w:val="0"/>
        <w:snapToGrid w:val="0"/>
        <w:spacing w:line="360" w:lineRule="auto"/>
        <w:jc w:val="center"/>
        <w:rPr>
          <w:rFonts w:hint="eastAsia" w:ascii="宋体" w:hAnsi="宋体" w:cs="宋体"/>
          <w:kern w:val="0"/>
          <w:sz w:val="20"/>
          <w:szCs w:val="20"/>
          <w:highlight w:val="none"/>
        </w:rPr>
      </w:pPr>
      <w:r>
        <w:rPr>
          <w:rFonts w:ascii="宋体" w:hAnsi="宋体"/>
          <w:kern w:val="0"/>
          <w:szCs w:val="21"/>
          <w:highlight w:val="none"/>
        </w:rPr>
        <w:br w:type="page"/>
      </w:r>
      <w:bookmarkStart w:id="165" w:name="_Toc513063946"/>
      <w:bookmarkStart w:id="166" w:name="_Toc5364"/>
      <w:r>
        <w:rPr>
          <w:rFonts w:hint="eastAsia" w:hAnsi="宋体" w:cs="黑体"/>
          <w:b/>
          <w:bCs/>
          <w:sz w:val="28"/>
          <w:szCs w:val="28"/>
          <w:highlight w:val="none"/>
        </w:rPr>
        <w:t>（三）其它资料</w:t>
      </w:r>
      <w:bookmarkEnd w:id="165"/>
      <w:bookmarkEnd w:id="166"/>
      <w:r>
        <w:rPr>
          <w:rFonts w:hint="eastAsia" w:hAnsi="宋体" w:cs="黑体"/>
          <w:b/>
          <w:bCs/>
          <w:sz w:val="28"/>
          <w:szCs w:val="28"/>
          <w:highlight w:val="none"/>
        </w:rPr>
        <w:t>（如有）</w:t>
      </w:r>
      <w:r>
        <w:rPr>
          <w:rFonts w:hint="eastAsia" w:hAnsi="宋体" w:cs="黑体"/>
          <w:b/>
          <w:bCs/>
          <w:sz w:val="28"/>
          <w:szCs w:val="28"/>
          <w:highlight w:val="none"/>
        </w:rPr>
        <w:br w:type="page"/>
      </w:r>
    </w:p>
    <w:p>
      <w:pPr>
        <w:pStyle w:val="13"/>
        <w:rPr>
          <w:rFonts w:hint="eastAsia" w:ascii="宋体" w:hAnsi="宋体" w:eastAsia="宋体" w:cs="宋体"/>
          <w:highlight w:val="none"/>
        </w:rPr>
      </w:pPr>
    </w:p>
    <w:p>
      <w:pPr>
        <w:pStyle w:val="26"/>
        <w:spacing w:after="0"/>
        <w:jc w:val="center"/>
        <w:outlineLvl w:val="1"/>
        <w:rPr>
          <w:rFonts w:hint="eastAsia" w:ascii="宋体" w:hAnsi="宋体" w:eastAsia="宋体" w:cs="宋体"/>
          <w:b/>
          <w:bCs/>
          <w:sz w:val="28"/>
          <w:szCs w:val="28"/>
          <w:highlight w:val="none"/>
        </w:rPr>
      </w:pPr>
      <w:bookmarkStart w:id="167" w:name="_Toc20768"/>
      <w:bookmarkStart w:id="168" w:name="_Toc32467"/>
      <w:bookmarkStart w:id="169" w:name="_Toc28925"/>
      <w:bookmarkStart w:id="170" w:name="_Toc26464"/>
      <w:bookmarkStart w:id="171" w:name="_Toc13052"/>
      <w:r>
        <w:rPr>
          <w:rFonts w:hint="eastAsia" w:ascii="宋体" w:hAnsi="宋体" w:eastAsia="宋体" w:cs="宋体"/>
          <w:b/>
          <w:bCs/>
          <w:sz w:val="28"/>
          <w:szCs w:val="28"/>
          <w:highlight w:val="none"/>
        </w:rPr>
        <w:t>二、资格审查部分</w:t>
      </w:r>
      <w:bookmarkEnd w:id="167"/>
      <w:bookmarkEnd w:id="168"/>
      <w:bookmarkEnd w:id="169"/>
      <w:bookmarkEnd w:id="170"/>
      <w:bookmarkEnd w:id="171"/>
    </w:p>
    <w:p>
      <w:pPr>
        <w:pStyle w:val="17"/>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26"/>
        <w:snapToGrid w:val="0"/>
        <w:spacing w:after="0" w:line="360" w:lineRule="auto"/>
        <w:jc w:val="center"/>
        <w:rPr>
          <w:rFonts w:hint="eastAsia" w:ascii="宋体" w:hAnsi="宋体" w:eastAsia="宋体" w:cs="宋体"/>
          <w:b/>
          <w:bCs/>
          <w:sz w:val="28"/>
          <w:szCs w:val="28"/>
          <w:highlight w:val="none"/>
        </w:rPr>
      </w:pPr>
      <w:bookmarkStart w:id="172" w:name="_Toc19915"/>
      <w:bookmarkStart w:id="173" w:name="_Toc264113991"/>
      <w:bookmarkStart w:id="174" w:name="_Toc843"/>
      <w:bookmarkStart w:id="175" w:name="_Toc197397336"/>
      <w:bookmarkStart w:id="176" w:name="_Toc197396398"/>
      <w:bookmarkStart w:id="177" w:name="_Toc513055523"/>
      <w:bookmarkStart w:id="178" w:name="_Toc513063951"/>
      <w:bookmarkStart w:id="179" w:name="_Toc513055406"/>
      <w:bookmarkStart w:id="180" w:name="_Toc262170625"/>
      <w:r>
        <w:rPr>
          <w:rFonts w:hint="eastAsia" w:ascii="宋体" w:hAnsi="宋体" w:eastAsia="宋体" w:cs="宋体"/>
          <w:b/>
          <w:bCs/>
          <w:sz w:val="28"/>
          <w:szCs w:val="28"/>
          <w:highlight w:val="none"/>
        </w:rPr>
        <w:t>（一）投标人基本情况表</w:t>
      </w:r>
      <w:bookmarkEnd w:id="172"/>
      <w:bookmarkEnd w:id="173"/>
      <w:bookmarkEnd w:id="174"/>
      <w:bookmarkEnd w:id="175"/>
      <w:bookmarkEnd w:id="176"/>
      <w:bookmarkEnd w:id="177"/>
      <w:bookmarkEnd w:id="178"/>
      <w:bookmarkEnd w:id="179"/>
      <w:bookmarkEnd w:id="180"/>
    </w:p>
    <w:tbl>
      <w:tblPr>
        <w:tblStyle w:val="15"/>
        <w:tblW w:w="95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1252"/>
        <w:gridCol w:w="1089"/>
        <w:gridCol w:w="176"/>
        <w:gridCol w:w="723"/>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80" w:type="dxa"/>
            <w:vAlign w:val="center"/>
          </w:tcPr>
          <w:p>
            <w:pPr>
              <w:jc w:val="center"/>
              <w:rPr>
                <w:rFonts w:hint="eastAsia" w:ascii="宋体" w:hAnsi="宋体" w:cs="宋体"/>
                <w:szCs w:val="21"/>
                <w:highlight w:val="none"/>
              </w:rPr>
            </w:pPr>
            <w:r>
              <w:rPr>
                <w:rFonts w:hint="eastAsia" w:ascii="宋体" w:hAnsi="宋体" w:cs="宋体"/>
                <w:szCs w:val="21"/>
                <w:highlight w:val="none"/>
              </w:rPr>
              <w:t>投标人名称</w:t>
            </w:r>
          </w:p>
        </w:tc>
        <w:tc>
          <w:tcPr>
            <w:tcW w:w="7550" w:type="dxa"/>
            <w:gridSpan w:val="7"/>
            <w:vAlign w:val="center"/>
          </w:tcPr>
          <w:p>
            <w:pPr>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80" w:type="dxa"/>
            <w:vAlign w:val="center"/>
          </w:tcPr>
          <w:p>
            <w:pPr>
              <w:jc w:val="center"/>
              <w:rPr>
                <w:rFonts w:hint="eastAsia" w:ascii="宋体" w:hAnsi="宋体" w:cs="宋体"/>
                <w:szCs w:val="21"/>
                <w:highlight w:val="none"/>
              </w:rPr>
            </w:pPr>
            <w:r>
              <w:rPr>
                <w:rFonts w:hint="eastAsia" w:ascii="宋体" w:hAnsi="宋体" w:cs="宋体"/>
                <w:szCs w:val="21"/>
                <w:highlight w:val="none"/>
              </w:rPr>
              <w:t>注册地址</w:t>
            </w:r>
          </w:p>
        </w:tc>
        <w:tc>
          <w:tcPr>
            <w:tcW w:w="4132" w:type="dxa"/>
            <w:gridSpan w:val="3"/>
            <w:vAlign w:val="center"/>
          </w:tcPr>
          <w:p>
            <w:pPr>
              <w:jc w:val="center"/>
              <w:rPr>
                <w:rFonts w:hint="eastAsia" w:ascii="宋体" w:hAnsi="宋体" w:cs="宋体"/>
                <w:szCs w:val="21"/>
                <w:highlight w:val="none"/>
              </w:rPr>
            </w:pPr>
          </w:p>
        </w:tc>
        <w:tc>
          <w:tcPr>
            <w:tcW w:w="1089" w:type="dxa"/>
            <w:vAlign w:val="center"/>
          </w:tcPr>
          <w:p>
            <w:pPr>
              <w:jc w:val="center"/>
              <w:rPr>
                <w:rFonts w:hint="eastAsia" w:ascii="宋体" w:hAnsi="宋体" w:cs="宋体"/>
                <w:szCs w:val="21"/>
                <w:highlight w:val="none"/>
              </w:rPr>
            </w:pPr>
            <w:r>
              <w:rPr>
                <w:rFonts w:hint="eastAsia" w:ascii="宋体" w:hAnsi="宋体" w:cs="宋体"/>
                <w:szCs w:val="21"/>
                <w:highlight w:val="none"/>
              </w:rPr>
              <w:t>邮政编码</w:t>
            </w:r>
          </w:p>
        </w:tc>
        <w:tc>
          <w:tcPr>
            <w:tcW w:w="2329" w:type="dxa"/>
            <w:gridSpan w:val="3"/>
            <w:vAlign w:val="center"/>
          </w:tcPr>
          <w:p>
            <w:pPr>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80" w:type="dxa"/>
            <w:vMerge w:val="restart"/>
            <w:vAlign w:val="center"/>
          </w:tcPr>
          <w:p>
            <w:pPr>
              <w:jc w:val="center"/>
              <w:rPr>
                <w:rFonts w:hint="eastAsia" w:ascii="宋体" w:hAnsi="宋体" w:cs="宋体"/>
                <w:szCs w:val="21"/>
                <w:highlight w:val="none"/>
              </w:rPr>
            </w:pPr>
            <w:r>
              <w:rPr>
                <w:rFonts w:hint="eastAsia" w:ascii="宋体" w:hAnsi="宋体" w:cs="宋体"/>
                <w:szCs w:val="21"/>
                <w:highlight w:val="none"/>
              </w:rPr>
              <w:t>联系方式</w:t>
            </w:r>
          </w:p>
        </w:tc>
        <w:tc>
          <w:tcPr>
            <w:tcW w:w="1077" w:type="dxa"/>
            <w:vAlign w:val="center"/>
          </w:tcPr>
          <w:p>
            <w:pPr>
              <w:jc w:val="center"/>
              <w:rPr>
                <w:rFonts w:hint="eastAsia" w:ascii="宋体" w:hAnsi="宋体" w:cs="宋体"/>
                <w:szCs w:val="21"/>
                <w:highlight w:val="none"/>
              </w:rPr>
            </w:pPr>
            <w:r>
              <w:rPr>
                <w:rFonts w:hint="eastAsia" w:ascii="宋体" w:hAnsi="宋体" w:cs="宋体"/>
                <w:szCs w:val="21"/>
                <w:highlight w:val="none"/>
              </w:rPr>
              <w:t>联系人</w:t>
            </w:r>
          </w:p>
        </w:tc>
        <w:tc>
          <w:tcPr>
            <w:tcW w:w="3055" w:type="dxa"/>
            <w:gridSpan w:val="2"/>
            <w:vAlign w:val="center"/>
          </w:tcPr>
          <w:p>
            <w:pPr>
              <w:jc w:val="center"/>
              <w:rPr>
                <w:rFonts w:hint="eastAsia" w:ascii="宋体" w:hAnsi="宋体" w:cs="宋体"/>
                <w:szCs w:val="21"/>
                <w:highlight w:val="none"/>
              </w:rPr>
            </w:pPr>
          </w:p>
        </w:tc>
        <w:tc>
          <w:tcPr>
            <w:tcW w:w="1089" w:type="dxa"/>
            <w:vAlign w:val="center"/>
          </w:tcPr>
          <w:p>
            <w:pPr>
              <w:jc w:val="center"/>
              <w:rPr>
                <w:rFonts w:hint="eastAsia" w:ascii="宋体" w:hAnsi="宋体" w:cs="宋体"/>
                <w:szCs w:val="21"/>
                <w:highlight w:val="none"/>
              </w:rPr>
            </w:pPr>
            <w:r>
              <w:rPr>
                <w:rFonts w:hint="eastAsia" w:ascii="宋体" w:hAnsi="宋体" w:cs="宋体"/>
                <w:szCs w:val="21"/>
                <w:highlight w:val="none"/>
              </w:rPr>
              <w:t>电话</w:t>
            </w:r>
          </w:p>
        </w:tc>
        <w:tc>
          <w:tcPr>
            <w:tcW w:w="2329" w:type="dxa"/>
            <w:gridSpan w:val="3"/>
            <w:vAlign w:val="center"/>
          </w:tcPr>
          <w:p>
            <w:pPr>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80" w:type="dxa"/>
            <w:vMerge w:val="continue"/>
            <w:vAlign w:val="center"/>
          </w:tcPr>
          <w:p>
            <w:pPr>
              <w:jc w:val="center"/>
              <w:rPr>
                <w:rFonts w:hint="eastAsia" w:ascii="宋体" w:hAnsi="宋体" w:cs="宋体"/>
                <w:szCs w:val="21"/>
                <w:highlight w:val="none"/>
              </w:rPr>
            </w:pPr>
          </w:p>
        </w:tc>
        <w:tc>
          <w:tcPr>
            <w:tcW w:w="1077" w:type="dxa"/>
            <w:vAlign w:val="center"/>
          </w:tcPr>
          <w:p>
            <w:pPr>
              <w:jc w:val="center"/>
              <w:rPr>
                <w:rFonts w:hint="eastAsia" w:ascii="宋体" w:hAnsi="宋体" w:cs="宋体"/>
                <w:szCs w:val="21"/>
                <w:highlight w:val="none"/>
              </w:rPr>
            </w:pPr>
            <w:r>
              <w:rPr>
                <w:rFonts w:hint="eastAsia" w:ascii="宋体" w:hAnsi="宋体" w:cs="宋体"/>
                <w:szCs w:val="21"/>
                <w:highlight w:val="none"/>
              </w:rPr>
              <w:t>传真</w:t>
            </w:r>
          </w:p>
        </w:tc>
        <w:tc>
          <w:tcPr>
            <w:tcW w:w="3055" w:type="dxa"/>
            <w:gridSpan w:val="2"/>
            <w:vAlign w:val="center"/>
          </w:tcPr>
          <w:p>
            <w:pPr>
              <w:jc w:val="center"/>
              <w:rPr>
                <w:rFonts w:hint="eastAsia" w:ascii="宋体" w:hAnsi="宋体" w:cs="宋体"/>
                <w:szCs w:val="21"/>
                <w:highlight w:val="none"/>
              </w:rPr>
            </w:pPr>
          </w:p>
        </w:tc>
        <w:tc>
          <w:tcPr>
            <w:tcW w:w="1089" w:type="dxa"/>
            <w:vAlign w:val="center"/>
          </w:tcPr>
          <w:p>
            <w:pPr>
              <w:jc w:val="center"/>
              <w:rPr>
                <w:rFonts w:hint="eastAsia" w:ascii="宋体" w:hAnsi="宋体" w:cs="宋体"/>
                <w:szCs w:val="21"/>
                <w:highlight w:val="none"/>
              </w:rPr>
            </w:pPr>
            <w:r>
              <w:rPr>
                <w:rFonts w:hint="eastAsia" w:ascii="宋体" w:hAnsi="宋体" w:cs="宋体"/>
                <w:szCs w:val="21"/>
                <w:highlight w:val="none"/>
              </w:rPr>
              <w:t>网址</w:t>
            </w:r>
          </w:p>
        </w:tc>
        <w:tc>
          <w:tcPr>
            <w:tcW w:w="2329" w:type="dxa"/>
            <w:gridSpan w:val="3"/>
            <w:vAlign w:val="center"/>
          </w:tcPr>
          <w:p>
            <w:pPr>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80" w:type="dxa"/>
            <w:vAlign w:val="center"/>
          </w:tcPr>
          <w:p>
            <w:pPr>
              <w:jc w:val="center"/>
              <w:rPr>
                <w:rFonts w:hint="eastAsia" w:ascii="宋体" w:hAnsi="宋体" w:cs="宋体"/>
                <w:szCs w:val="21"/>
                <w:highlight w:val="none"/>
              </w:rPr>
            </w:pPr>
            <w:r>
              <w:rPr>
                <w:rFonts w:hint="eastAsia" w:ascii="宋体" w:hAnsi="宋体" w:cs="宋体"/>
                <w:szCs w:val="21"/>
                <w:highlight w:val="none"/>
              </w:rPr>
              <w:t>组织结构</w:t>
            </w:r>
          </w:p>
        </w:tc>
        <w:tc>
          <w:tcPr>
            <w:tcW w:w="7550" w:type="dxa"/>
            <w:gridSpan w:val="7"/>
            <w:vAlign w:val="center"/>
          </w:tcPr>
          <w:p>
            <w:pPr>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80" w:type="dxa"/>
            <w:vAlign w:val="center"/>
          </w:tcPr>
          <w:p>
            <w:pPr>
              <w:jc w:val="center"/>
              <w:rPr>
                <w:rFonts w:hint="eastAsia" w:ascii="宋体" w:hAnsi="宋体" w:cs="宋体"/>
                <w:szCs w:val="21"/>
                <w:highlight w:val="none"/>
              </w:rPr>
            </w:pPr>
            <w:r>
              <w:rPr>
                <w:rFonts w:hint="eastAsia" w:ascii="宋体" w:hAnsi="宋体" w:cs="宋体"/>
                <w:szCs w:val="21"/>
                <w:highlight w:val="none"/>
              </w:rPr>
              <w:t>法定代表人</w:t>
            </w:r>
          </w:p>
        </w:tc>
        <w:tc>
          <w:tcPr>
            <w:tcW w:w="1077" w:type="dxa"/>
            <w:vAlign w:val="center"/>
          </w:tcPr>
          <w:p>
            <w:pPr>
              <w:jc w:val="center"/>
              <w:rPr>
                <w:rFonts w:hint="eastAsia" w:ascii="宋体" w:hAnsi="宋体" w:cs="宋体"/>
                <w:szCs w:val="21"/>
                <w:highlight w:val="none"/>
              </w:rPr>
            </w:pPr>
            <w:r>
              <w:rPr>
                <w:rFonts w:hint="eastAsia" w:ascii="宋体" w:hAnsi="宋体" w:cs="宋体"/>
                <w:szCs w:val="21"/>
                <w:highlight w:val="none"/>
              </w:rPr>
              <w:t>姓名</w:t>
            </w:r>
          </w:p>
        </w:tc>
        <w:tc>
          <w:tcPr>
            <w:tcW w:w="1803" w:type="dxa"/>
            <w:vAlign w:val="center"/>
          </w:tcPr>
          <w:p>
            <w:pPr>
              <w:jc w:val="center"/>
              <w:rPr>
                <w:rFonts w:hint="eastAsia" w:ascii="宋体" w:hAnsi="宋体" w:cs="宋体"/>
                <w:szCs w:val="21"/>
                <w:highlight w:val="none"/>
              </w:rPr>
            </w:pPr>
          </w:p>
        </w:tc>
        <w:tc>
          <w:tcPr>
            <w:tcW w:w="1252" w:type="dxa"/>
            <w:vAlign w:val="center"/>
          </w:tcPr>
          <w:p>
            <w:pPr>
              <w:jc w:val="center"/>
              <w:rPr>
                <w:rFonts w:hint="eastAsia" w:ascii="宋体" w:hAnsi="宋体" w:cs="宋体"/>
                <w:szCs w:val="21"/>
                <w:highlight w:val="none"/>
              </w:rPr>
            </w:pPr>
            <w:r>
              <w:rPr>
                <w:rFonts w:hint="eastAsia" w:ascii="宋体" w:hAnsi="宋体" w:cs="宋体"/>
                <w:szCs w:val="21"/>
                <w:highlight w:val="none"/>
              </w:rPr>
              <w:t>技术职称</w:t>
            </w:r>
          </w:p>
        </w:tc>
        <w:tc>
          <w:tcPr>
            <w:tcW w:w="1265" w:type="dxa"/>
            <w:gridSpan w:val="2"/>
            <w:vAlign w:val="center"/>
          </w:tcPr>
          <w:p>
            <w:pPr>
              <w:jc w:val="center"/>
              <w:rPr>
                <w:rFonts w:hint="eastAsia" w:ascii="宋体" w:hAnsi="宋体" w:cs="宋体"/>
                <w:szCs w:val="21"/>
                <w:highlight w:val="none"/>
              </w:rPr>
            </w:pPr>
          </w:p>
        </w:tc>
        <w:tc>
          <w:tcPr>
            <w:tcW w:w="723" w:type="dxa"/>
            <w:vAlign w:val="center"/>
          </w:tcPr>
          <w:p>
            <w:pPr>
              <w:jc w:val="center"/>
              <w:rPr>
                <w:rFonts w:hint="eastAsia" w:ascii="宋体" w:hAnsi="宋体" w:cs="宋体"/>
                <w:szCs w:val="21"/>
                <w:highlight w:val="none"/>
              </w:rPr>
            </w:pPr>
            <w:r>
              <w:rPr>
                <w:rFonts w:hint="eastAsia" w:ascii="宋体" w:hAnsi="宋体" w:cs="宋体"/>
                <w:szCs w:val="21"/>
                <w:highlight w:val="none"/>
              </w:rPr>
              <w:t>电话</w:t>
            </w:r>
          </w:p>
        </w:tc>
        <w:tc>
          <w:tcPr>
            <w:tcW w:w="1430" w:type="dxa"/>
            <w:vAlign w:val="center"/>
          </w:tcPr>
          <w:p>
            <w:pPr>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80" w:type="dxa"/>
            <w:vAlign w:val="center"/>
          </w:tcPr>
          <w:p>
            <w:pPr>
              <w:jc w:val="center"/>
              <w:rPr>
                <w:rFonts w:hint="eastAsia" w:ascii="宋体" w:hAnsi="宋体" w:cs="宋体"/>
                <w:szCs w:val="21"/>
                <w:highlight w:val="none"/>
              </w:rPr>
            </w:pPr>
            <w:r>
              <w:rPr>
                <w:rFonts w:hint="eastAsia" w:ascii="宋体" w:hAnsi="宋体" w:cs="宋体"/>
                <w:szCs w:val="21"/>
                <w:highlight w:val="none"/>
              </w:rPr>
              <w:t>成立时间</w:t>
            </w:r>
          </w:p>
        </w:tc>
        <w:tc>
          <w:tcPr>
            <w:tcW w:w="7550" w:type="dxa"/>
            <w:gridSpan w:val="7"/>
            <w:vAlign w:val="center"/>
          </w:tcPr>
          <w:p>
            <w:pPr>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80" w:type="dxa"/>
            <w:vAlign w:val="center"/>
          </w:tcPr>
          <w:p>
            <w:pPr>
              <w:jc w:val="center"/>
              <w:rPr>
                <w:rFonts w:hint="eastAsia" w:ascii="宋体" w:hAnsi="宋体" w:cs="宋体"/>
                <w:szCs w:val="21"/>
                <w:highlight w:val="none"/>
              </w:rPr>
            </w:pPr>
            <w:r>
              <w:rPr>
                <w:rFonts w:hint="eastAsia" w:ascii="宋体" w:hAnsi="宋体" w:cs="宋体"/>
                <w:szCs w:val="21"/>
                <w:highlight w:val="none"/>
              </w:rPr>
              <w:t>企业资质等级</w:t>
            </w:r>
          </w:p>
        </w:tc>
        <w:tc>
          <w:tcPr>
            <w:tcW w:w="7550" w:type="dxa"/>
            <w:gridSpan w:val="7"/>
            <w:vAlign w:val="center"/>
          </w:tcPr>
          <w:p>
            <w:pPr>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80" w:type="dxa"/>
            <w:vAlign w:val="center"/>
          </w:tcPr>
          <w:p>
            <w:pPr>
              <w:jc w:val="center"/>
              <w:rPr>
                <w:rFonts w:hint="eastAsia" w:ascii="宋体" w:hAnsi="宋体" w:cs="宋体"/>
                <w:szCs w:val="21"/>
                <w:highlight w:val="none"/>
              </w:rPr>
            </w:pPr>
            <w:r>
              <w:rPr>
                <w:rFonts w:hint="eastAsia" w:ascii="宋体" w:hAnsi="宋体" w:cs="宋体"/>
                <w:szCs w:val="21"/>
                <w:highlight w:val="none"/>
              </w:rPr>
              <w:t>营业执照号</w:t>
            </w:r>
          </w:p>
        </w:tc>
        <w:tc>
          <w:tcPr>
            <w:tcW w:w="7550" w:type="dxa"/>
            <w:gridSpan w:val="7"/>
            <w:vAlign w:val="center"/>
          </w:tcPr>
          <w:p>
            <w:pPr>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80" w:type="dxa"/>
            <w:vAlign w:val="center"/>
          </w:tcPr>
          <w:p>
            <w:pPr>
              <w:jc w:val="center"/>
              <w:rPr>
                <w:rFonts w:hint="eastAsia" w:ascii="宋体" w:hAnsi="宋体" w:cs="宋体"/>
                <w:szCs w:val="21"/>
                <w:highlight w:val="none"/>
              </w:rPr>
            </w:pPr>
            <w:r>
              <w:rPr>
                <w:rFonts w:hint="eastAsia" w:ascii="宋体" w:hAnsi="宋体" w:cs="宋体"/>
                <w:szCs w:val="21"/>
                <w:highlight w:val="none"/>
              </w:rPr>
              <w:t>注册资金</w:t>
            </w:r>
          </w:p>
        </w:tc>
        <w:tc>
          <w:tcPr>
            <w:tcW w:w="7550" w:type="dxa"/>
            <w:gridSpan w:val="7"/>
            <w:vAlign w:val="center"/>
          </w:tcPr>
          <w:p>
            <w:pPr>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80" w:type="dxa"/>
            <w:vAlign w:val="center"/>
          </w:tcPr>
          <w:p>
            <w:pPr>
              <w:jc w:val="center"/>
              <w:rPr>
                <w:rFonts w:hint="eastAsia" w:ascii="宋体" w:hAnsi="宋体" w:cs="宋体"/>
                <w:szCs w:val="21"/>
                <w:highlight w:val="none"/>
              </w:rPr>
            </w:pPr>
            <w:r>
              <w:rPr>
                <w:rFonts w:hint="eastAsia" w:ascii="宋体" w:hAnsi="宋体" w:cs="宋体"/>
                <w:szCs w:val="21"/>
                <w:highlight w:val="none"/>
              </w:rPr>
              <w:t>开户银行</w:t>
            </w:r>
          </w:p>
        </w:tc>
        <w:tc>
          <w:tcPr>
            <w:tcW w:w="7550" w:type="dxa"/>
            <w:gridSpan w:val="7"/>
            <w:vAlign w:val="center"/>
          </w:tcPr>
          <w:p>
            <w:pPr>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80" w:type="dxa"/>
            <w:vAlign w:val="center"/>
          </w:tcPr>
          <w:p>
            <w:pPr>
              <w:jc w:val="center"/>
              <w:rPr>
                <w:rFonts w:hint="eastAsia" w:ascii="宋体" w:hAnsi="宋体" w:cs="宋体"/>
                <w:szCs w:val="21"/>
                <w:highlight w:val="none"/>
              </w:rPr>
            </w:pPr>
            <w:r>
              <w:rPr>
                <w:rFonts w:hint="eastAsia" w:ascii="宋体" w:hAnsi="宋体" w:cs="宋体"/>
                <w:szCs w:val="21"/>
                <w:highlight w:val="none"/>
              </w:rPr>
              <w:t>账号</w:t>
            </w:r>
          </w:p>
        </w:tc>
        <w:tc>
          <w:tcPr>
            <w:tcW w:w="7550" w:type="dxa"/>
            <w:gridSpan w:val="7"/>
            <w:vAlign w:val="center"/>
          </w:tcPr>
          <w:p>
            <w:pPr>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80" w:type="dxa"/>
            <w:vAlign w:val="center"/>
          </w:tcPr>
          <w:p>
            <w:pPr>
              <w:jc w:val="center"/>
              <w:rPr>
                <w:rFonts w:hint="eastAsia" w:ascii="宋体" w:hAnsi="宋体" w:cs="宋体"/>
                <w:szCs w:val="21"/>
                <w:highlight w:val="none"/>
              </w:rPr>
            </w:pPr>
            <w:r>
              <w:rPr>
                <w:rFonts w:hint="eastAsia" w:ascii="宋体" w:hAnsi="宋体" w:cs="宋体"/>
                <w:szCs w:val="21"/>
                <w:highlight w:val="none"/>
              </w:rPr>
              <w:t>员工总人数</w:t>
            </w:r>
          </w:p>
        </w:tc>
        <w:tc>
          <w:tcPr>
            <w:tcW w:w="7550" w:type="dxa"/>
            <w:gridSpan w:val="7"/>
            <w:vAlign w:val="center"/>
          </w:tcPr>
          <w:p>
            <w:pPr>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1" w:hRule="atLeast"/>
          <w:jc w:val="center"/>
        </w:trPr>
        <w:tc>
          <w:tcPr>
            <w:tcW w:w="1980" w:type="dxa"/>
            <w:vAlign w:val="center"/>
          </w:tcPr>
          <w:p>
            <w:pPr>
              <w:jc w:val="center"/>
              <w:rPr>
                <w:rFonts w:hint="eastAsia" w:ascii="宋体" w:hAnsi="宋体" w:cs="宋体"/>
                <w:szCs w:val="21"/>
                <w:highlight w:val="none"/>
              </w:rPr>
            </w:pPr>
            <w:r>
              <w:rPr>
                <w:rFonts w:hint="eastAsia" w:ascii="宋体" w:hAnsi="宋体" w:cs="宋体"/>
                <w:szCs w:val="21"/>
                <w:highlight w:val="none"/>
              </w:rPr>
              <w:t>经营范围</w:t>
            </w:r>
          </w:p>
        </w:tc>
        <w:tc>
          <w:tcPr>
            <w:tcW w:w="7550" w:type="dxa"/>
            <w:gridSpan w:val="7"/>
            <w:vAlign w:val="center"/>
          </w:tcPr>
          <w:p>
            <w:pPr>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jc w:val="center"/>
        </w:trPr>
        <w:tc>
          <w:tcPr>
            <w:tcW w:w="1980" w:type="dxa"/>
            <w:vAlign w:val="center"/>
          </w:tcPr>
          <w:p>
            <w:pPr>
              <w:jc w:val="center"/>
              <w:rPr>
                <w:rFonts w:hint="eastAsia" w:ascii="宋体" w:hAnsi="宋体" w:cs="宋体"/>
                <w:szCs w:val="21"/>
                <w:highlight w:val="none"/>
              </w:rPr>
            </w:pPr>
            <w:r>
              <w:rPr>
                <w:rFonts w:hint="eastAsia" w:ascii="宋体" w:hAnsi="宋体" w:cs="宋体"/>
                <w:szCs w:val="21"/>
                <w:highlight w:val="none"/>
              </w:rPr>
              <w:t>备注</w:t>
            </w:r>
          </w:p>
        </w:tc>
        <w:tc>
          <w:tcPr>
            <w:tcW w:w="7550" w:type="dxa"/>
            <w:gridSpan w:val="7"/>
            <w:vAlign w:val="center"/>
          </w:tcPr>
          <w:p>
            <w:pPr>
              <w:jc w:val="center"/>
              <w:rPr>
                <w:rFonts w:hint="eastAsia" w:ascii="宋体" w:hAnsi="宋体" w:cs="宋体"/>
                <w:szCs w:val="21"/>
                <w:highlight w:val="none"/>
              </w:rPr>
            </w:pPr>
          </w:p>
        </w:tc>
      </w:tr>
    </w:tbl>
    <w:p>
      <w:pPr>
        <w:spacing w:line="360" w:lineRule="auto"/>
        <w:rPr>
          <w:rFonts w:hint="eastAsia" w:ascii="宋体" w:hAnsi="宋体" w:cs="宋体"/>
          <w:bCs/>
          <w:szCs w:val="21"/>
          <w:highlight w:val="none"/>
        </w:rPr>
      </w:pPr>
    </w:p>
    <w:p>
      <w:pPr>
        <w:spacing w:line="360" w:lineRule="auto"/>
        <w:rPr>
          <w:bCs/>
          <w:sz w:val="18"/>
          <w:szCs w:val="18"/>
          <w:highlight w:val="none"/>
        </w:rPr>
      </w:pPr>
    </w:p>
    <w:p>
      <w:pPr>
        <w:widowControl/>
        <w:jc w:val="left"/>
        <w:rPr>
          <w:snapToGrid w:val="0"/>
          <w:sz w:val="24"/>
          <w:szCs w:val="24"/>
          <w:highlight w:val="none"/>
        </w:rPr>
      </w:pPr>
      <w:r>
        <w:rPr>
          <w:snapToGrid w:val="0"/>
          <w:sz w:val="24"/>
          <w:szCs w:val="24"/>
          <w:highlight w:val="none"/>
        </w:rPr>
        <w:br w:type="page"/>
      </w:r>
    </w:p>
    <w:p>
      <w:pPr>
        <w:pStyle w:val="26"/>
        <w:snapToGrid w:val="0"/>
        <w:spacing w:after="0" w:line="360" w:lineRule="auto"/>
        <w:jc w:val="center"/>
        <w:rPr>
          <w:rFonts w:hint="eastAsia" w:ascii="宋体" w:hAnsi="宋体" w:eastAsia="宋体" w:cs="宋体"/>
          <w:b/>
          <w:bCs/>
          <w:sz w:val="28"/>
          <w:szCs w:val="28"/>
          <w:highlight w:val="none"/>
        </w:rPr>
      </w:pPr>
      <w:bookmarkStart w:id="181" w:name="_Toc21309"/>
      <w:bookmarkStart w:id="182" w:name="_Toc513063952"/>
      <w:r>
        <w:rPr>
          <w:rFonts w:hint="eastAsia" w:ascii="宋体" w:hAnsi="宋体" w:eastAsia="宋体" w:cs="宋体"/>
          <w:b/>
          <w:bCs/>
          <w:sz w:val="28"/>
          <w:szCs w:val="28"/>
          <w:highlight w:val="none"/>
        </w:rPr>
        <w:t>（二）营业执照</w:t>
      </w:r>
    </w:p>
    <w:p>
      <w:pPr>
        <w:pStyle w:val="26"/>
        <w:spacing w:after="0"/>
        <w:ind w:left="1"/>
        <w:jc w:val="center"/>
        <w:rPr>
          <w:rFonts w:hAnsi="宋体" w:cs="黑体"/>
          <w:b/>
          <w:bCs/>
          <w:sz w:val="28"/>
          <w:szCs w:val="28"/>
          <w:highlight w:val="none"/>
        </w:rPr>
      </w:pPr>
    </w:p>
    <w:p>
      <w:pPr>
        <w:pStyle w:val="26"/>
        <w:spacing w:after="0"/>
        <w:ind w:left="1"/>
        <w:jc w:val="center"/>
        <w:rPr>
          <w:rFonts w:hAnsi="宋体" w:cs="黑体"/>
          <w:b/>
          <w:bCs/>
          <w:sz w:val="28"/>
          <w:szCs w:val="28"/>
          <w:highlight w:val="none"/>
        </w:rPr>
      </w:pPr>
    </w:p>
    <w:p>
      <w:pPr>
        <w:pStyle w:val="26"/>
        <w:spacing w:after="0"/>
        <w:ind w:left="1"/>
        <w:jc w:val="center"/>
        <w:rPr>
          <w:rFonts w:hAnsi="宋体" w:cs="黑体"/>
          <w:b/>
          <w:bCs/>
          <w:sz w:val="28"/>
          <w:szCs w:val="28"/>
          <w:highlight w:val="none"/>
        </w:rPr>
      </w:pPr>
    </w:p>
    <w:p>
      <w:pPr>
        <w:pStyle w:val="26"/>
        <w:snapToGrid w:val="0"/>
        <w:spacing w:after="0" w:line="360" w:lineRule="auto"/>
        <w:jc w:val="center"/>
        <w:rPr>
          <w:rFonts w:hint="eastAsia" w:ascii="宋体" w:hAnsi="宋体" w:eastAsia="宋体" w:cs="宋体"/>
          <w:b/>
          <w:bCs/>
          <w:sz w:val="28"/>
          <w:szCs w:val="28"/>
          <w:highlight w:val="none"/>
        </w:rPr>
      </w:pPr>
      <w:r>
        <w:rPr>
          <w:rFonts w:hint="eastAsia" w:hAnsi="宋体" w:cs="黑体"/>
          <w:b/>
          <w:bCs/>
          <w:sz w:val="28"/>
          <w:szCs w:val="28"/>
          <w:highlight w:val="none"/>
        </w:rPr>
        <w:br w:type="page"/>
      </w:r>
      <w:r>
        <w:rPr>
          <w:rFonts w:hint="eastAsia" w:ascii="宋体" w:hAnsi="宋体" w:eastAsia="宋体" w:cs="宋体"/>
          <w:b/>
          <w:bCs/>
          <w:sz w:val="28"/>
          <w:szCs w:val="28"/>
          <w:highlight w:val="none"/>
        </w:rPr>
        <w:t>（三）</w:t>
      </w:r>
      <w:bookmarkEnd w:id="181"/>
      <w:bookmarkEnd w:id="182"/>
      <w:r>
        <w:rPr>
          <w:rFonts w:hint="eastAsia" w:ascii="宋体" w:hAnsi="宋体" w:eastAsia="宋体" w:cs="宋体"/>
          <w:b/>
          <w:bCs/>
          <w:sz w:val="28"/>
          <w:szCs w:val="28"/>
          <w:highlight w:val="none"/>
        </w:rPr>
        <w:t>资质</w:t>
      </w:r>
      <w:r>
        <w:rPr>
          <w:rFonts w:hint="eastAsia" w:ascii="宋体" w:hAnsi="宋体" w:eastAsia="宋体" w:cs="宋体"/>
          <w:b/>
          <w:bCs/>
          <w:sz w:val="28"/>
          <w:szCs w:val="28"/>
          <w:highlight w:val="none"/>
          <w:lang w:val="en-US" w:eastAsia="zh-CN"/>
        </w:rPr>
        <w:t>要求</w:t>
      </w:r>
    </w:p>
    <w:p>
      <w:pPr>
        <w:pStyle w:val="26"/>
        <w:spacing w:after="0"/>
        <w:ind w:left="1"/>
        <w:jc w:val="center"/>
        <w:rPr>
          <w:rFonts w:hint="eastAsia" w:ascii="宋体" w:hAnsi="宋体" w:eastAsia="宋体" w:cs="宋体"/>
          <w:b/>
          <w:bCs/>
          <w:sz w:val="21"/>
          <w:szCs w:val="21"/>
          <w:highlight w:val="none"/>
        </w:rPr>
      </w:pPr>
      <w:r>
        <w:rPr>
          <w:rFonts w:hint="eastAsia" w:ascii="宋体" w:hAnsi="宋体" w:eastAsia="宋体" w:cs="宋体"/>
          <w:color w:val="000000"/>
          <w:sz w:val="21"/>
          <w:szCs w:val="21"/>
          <w:highlight w:val="none"/>
        </w:rPr>
        <w:t>注：</w:t>
      </w:r>
      <w:r>
        <w:rPr>
          <w:rFonts w:hint="eastAsia" w:ascii="宋体" w:hAnsi="宋体" w:eastAsia="宋体" w:cs="宋体"/>
          <w:snapToGrid w:val="0"/>
          <w:sz w:val="21"/>
          <w:szCs w:val="21"/>
          <w:highlight w:val="none"/>
        </w:rPr>
        <w:t>按投标人须知前附表1.4.1要求提供证明材料。</w:t>
      </w:r>
    </w:p>
    <w:p>
      <w:pPr>
        <w:pStyle w:val="26"/>
        <w:spacing w:after="0"/>
        <w:ind w:left="1"/>
        <w:jc w:val="center"/>
        <w:rPr>
          <w:rFonts w:hAnsi="宋体" w:cs="黑体"/>
          <w:b/>
          <w:bCs/>
          <w:sz w:val="28"/>
          <w:szCs w:val="28"/>
          <w:highlight w:val="none"/>
        </w:rPr>
      </w:pPr>
    </w:p>
    <w:p>
      <w:pPr>
        <w:spacing w:line="360" w:lineRule="auto"/>
        <w:ind w:firstLine="562" w:firstLineChars="200"/>
        <w:jc w:val="center"/>
        <w:rPr>
          <w:b/>
          <w:sz w:val="28"/>
          <w:szCs w:val="28"/>
          <w:highlight w:val="none"/>
        </w:rPr>
      </w:pPr>
      <w:r>
        <w:rPr>
          <w:rFonts w:hint="eastAsia" w:hAnsi="宋体" w:cs="黑体"/>
          <w:b/>
          <w:bCs/>
          <w:sz w:val="28"/>
          <w:szCs w:val="28"/>
          <w:highlight w:val="none"/>
        </w:rPr>
        <w:br w:type="page"/>
      </w:r>
      <w:r>
        <w:rPr>
          <w:rFonts w:hint="eastAsia" w:ascii="Calibri" w:hAnsi="宋体" w:cs="黑体"/>
          <w:b/>
          <w:bCs/>
          <w:kern w:val="0"/>
          <w:sz w:val="28"/>
          <w:szCs w:val="28"/>
          <w:highlight w:val="none"/>
        </w:rPr>
        <w:t>（</w:t>
      </w:r>
      <w:r>
        <w:rPr>
          <w:rFonts w:hint="eastAsia" w:ascii="Calibri" w:hAnsi="宋体" w:cs="黑体"/>
          <w:b/>
          <w:bCs/>
          <w:kern w:val="0"/>
          <w:sz w:val="28"/>
          <w:szCs w:val="28"/>
          <w:highlight w:val="none"/>
          <w:lang w:val="en-US" w:eastAsia="zh-CN"/>
        </w:rPr>
        <w:t>四</w:t>
      </w:r>
      <w:r>
        <w:rPr>
          <w:rFonts w:hint="eastAsia" w:ascii="Calibri" w:hAnsi="宋体" w:cs="黑体"/>
          <w:b/>
          <w:bCs/>
          <w:kern w:val="0"/>
          <w:sz w:val="28"/>
          <w:szCs w:val="28"/>
          <w:highlight w:val="none"/>
        </w:rPr>
        <w:t>）</w:t>
      </w:r>
      <w:r>
        <w:rPr>
          <w:rFonts w:hint="eastAsia"/>
          <w:b/>
          <w:sz w:val="28"/>
          <w:szCs w:val="28"/>
          <w:highlight w:val="none"/>
        </w:rPr>
        <w:t>人员要求</w:t>
      </w:r>
    </w:p>
    <w:p>
      <w:pPr>
        <w:spacing w:line="360" w:lineRule="auto"/>
        <w:jc w:val="center"/>
        <w:rPr>
          <w:b/>
          <w:sz w:val="28"/>
          <w:szCs w:val="28"/>
          <w:highlight w:val="none"/>
        </w:rPr>
      </w:pPr>
      <w:r>
        <w:rPr>
          <w:rFonts w:hint="eastAsia"/>
          <w:b/>
          <w:sz w:val="28"/>
          <w:szCs w:val="28"/>
          <w:highlight w:val="none"/>
        </w:rPr>
        <w:t>拟派项目负责人/技术负责人简历表</w:t>
      </w:r>
    </w:p>
    <w:tbl>
      <w:tblPr>
        <w:tblStyle w:val="15"/>
        <w:tblW w:w="97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95"/>
        <w:gridCol w:w="1850"/>
        <w:gridCol w:w="867"/>
        <w:gridCol w:w="1133"/>
        <w:gridCol w:w="1593"/>
        <w:gridCol w:w="30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2" w:hRule="atLeast"/>
        </w:trPr>
        <w:tc>
          <w:tcPr>
            <w:tcW w:w="1295" w:type="dxa"/>
            <w:vAlign w:val="center"/>
          </w:tcPr>
          <w:p>
            <w:pPr>
              <w:jc w:val="center"/>
              <w:rPr>
                <w:szCs w:val="21"/>
                <w:highlight w:val="none"/>
              </w:rPr>
            </w:pPr>
            <w:r>
              <w:rPr>
                <w:rFonts w:hint="eastAsia" w:cs="宋体"/>
                <w:szCs w:val="21"/>
                <w:highlight w:val="none"/>
              </w:rPr>
              <w:t>姓名</w:t>
            </w:r>
          </w:p>
        </w:tc>
        <w:tc>
          <w:tcPr>
            <w:tcW w:w="1850" w:type="dxa"/>
            <w:vAlign w:val="center"/>
          </w:tcPr>
          <w:p>
            <w:pPr>
              <w:jc w:val="center"/>
              <w:rPr>
                <w:szCs w:val="21"/>
                <w:highlight w:val="none"/>
              </w:rPr>
            </w:pPr>
          </w:p>
        </w:tc>
        <w:tc>
          <w:tcPr>
            <w:tcW w:w="867" w:type="dxa"/>
            <w:vAlign w:val="center"/>
          </w:tcPr>
          <w:p>
            <w:pPr>
              <w:jc w:val="center"/>
              <w:rPr>
                <w:szCs w:val="21"/>
                <w:highlight w:val="none"/>
              </w:rPr>
            </w:pPr>
            <w:r>
              <w:rPr>
                <w:rFonts w:hint="eastAsia" w:cs="宋体"/>
                <w:szCs w:val="21"/>
                <w:highlight w:val="none"/>
              </w:rPr>
              <w:t>年龄</w:t>
            </w:r>
          </w:p>
        </w:tc>
        <w:tc>
          <w:tcPr>
            <w:tcW w:w="1133" w:type="dxa"/>
            <w:vAlign w:val="center"/>
          </w:tcPr>
          <w:p>
            <w:pPr>
              <w:jc w:val="center"/>
              <w:rPr>
                <w:szCs w:val="21"/>
                <w:highlight w:val="none"/>
              </w:rPr>
            </w:pPr>
          </w:p>
        </w:tc>
        <w:tc>
          <w:tcPr>
            <w:tcW w:w="1593" w:type="dxa"/>
            <w:vAlign w:val="center"/>
          </w:tcPr>
          <w:p>
            <w:pPr>
              <w:jc w:val="center"/>
              <w:rPr>
                <w:szCs w:val="21"/>
                <w:highlight w:val="none"/>
              </w:rPr>
            </w:pPr>
            <w:r>
              <w:rPr>
                <w:rFonts w:hint="eastAsia" w:cs="宋体"/>
                <w:szCs w:val="21"/>
                <w:highlight w:val="none"/>
              </w:rPr>
              <w:t>学历</w:t>
            </w:r>
          </w:p>
        </w:tc>
        <w:tc>
          <w:tcPr>
            <w:tcW w:w="3041" w:type="dxa"/>
            <w:vAlign w:val="center"/>
          </w:tcPr>
          <w:p>
            <w:pPr>
              <w:jc w:val="center"/>
              <w:rPr>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3" w:hRule="atLeast"/>
        </w:trPr>
        <w:tc>
          <w:tcPr>
            <w:tcW w:w="1295" w:type="dxa"/>
            <w:vAlign w:val="center"/>
          </w:tcPr>
          <w:p>
            <w:pPr>
              <w:jc w:val="center"/>
              <w:rPr>
                <w:rFonts w:hint="eastAsia" w:eastAsia="宋体" w:cs="宋体"/>
                <w:szCs w:val="21"/>
                <w:highlight w:val="none"/>
                <w:lang w:eastAsia="zh-CN"/>
              </w:rPr>
            </w:pPr>
            <w:r>
              <w:rPr>
                <w:rFonts w:hint="eastAsia" w:cs="宋体"/>
                <w:szCs w:val="21"/>
                <w:highlight w:val="none"/>
                <w:lang w:eastAsia="zh-CN"/>
              </w:rPr>
              <w:t>身份证号</w:t>
            </w:r>
          </w:p>
        </w:tc>
        <w:tc>
          <w:tcPr>
            <w:tcW w:w="8484" w:type="dxa"/>
            <w:gridSpan w:val="5"/>
            <w:vAlign w:val="center"/>
          </w:tcPr>
          <w:p>
            <w:pPr>
              <w:jc w:val="center"/>
              <w:rPr>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2" w:hRule="atLeast"/>
        </w:trPr>
        <w:tc>
          <w:tcPr>
            <w:tcW w:w="1295" w:type="dxa"/>
            <w:vAlign w:val="center"/>
          </w:tcPr>
          <w:p>
            <w:pPr>
              <w:jc w:val="center"/>
              <w:rPr>
                <w:rFonts w:hint="eastAsia" w:cs="宋体"/>
                <w:szCs w:val="21"/>
                <w:highlight w:val="none"/>
              </w:rPr>
            </w:pPr>
            <w:r>
              <w:rPr>
                <w:rFonts w:hint="eastAsia" w:cs="宋体"/>
                <w:szCs w:val="21"/>
                <w:highlight w:val="none"/>
              </w:rPr>
              <w:t>专业技术</w:t>
            </w:r>
          </w:p>
          <w:p>
            <w:pPr>
              <w:jc w:val="center"/>
              <w:rPr>
                <w:rFonts w:hint="eastAsia"/>
                <w:szCs w:val="21"/>
                <w:highlight w:val="none"/>
              </w:rPr>
            </w:pPr>
            <w:r>
              <w:rPr>
                <w:rFonts w:hint="eastAsia" w:cs="宋体"/>
                <w:szCs w:val="21"/>
                <w:highlight w:val="none"/>
              </w:rPr>
              <w:t>职称</w:t>
            </w:r>
          </w:p>
        </w:tc>
        <w:tc>
          <w:tcPr>
            <w:tcW w:w="3850" w:type="dxa"/>
            <w:gridSpan w:val="3"/>
            <w:vAlign w:val="center"/>
          </w:tcPr>
          <w:p>
            <w:pPr>
              <w:jc w:val="center"/>
              <w:rPr>
                <w:szCs w:val="21"/>
                <w:highlight w:val="none"/>
              </w:rPr>
            </w:pPr>
          </w:p>
        </w:tc>
        <w:tc>
          <w:tcPr>
            <w:tcW w:w="1593" w:type="dxa"/>
            <w:vAlign w:val="center"/>
          </w:tcPr>
          <w:p>
            <w:pPr>
              <w:jc w:val="center"/>
              <w:rPr>
                <w:szCs w:val="21"/>
                <w:highlight w:val="none"/>
              </w:rPr>
            </w:pPr>
            <w:r>
              <w:rPr>
                <w:rFonts w:hint="eastAsia" w:cs="宋体"/>
                <w:szCs w:val="21"/>
                <w:highlight w:val="none"/>
              </w:rPr>
              <w:t>资格证书</w:t>
            </w:r>
          </w:p>
        </w:tc>
        <w:tc>
          <w:tcPr>
            <w:tcW w:w="3041" w:type="dxa"/>
            <w:vAlign w:val="center"/>
          </w:tcPr>
          <w:p>
            <w:pPr>
              <w:jc w:val="center"/>
              <w:rPr>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6" w:hRule="atLeast"/>
        </w:trPr>
        <w:tc>
          <w:tcPr>
            <w:tcW w:w="1295" w:type="dxa"/>
            <w:vAlign w:val="center"/>
          </w:tcPr>
          <w:p>
            <w:pPr>
              <w:jc w:val="center"/>
              <w:rPr>
                <w:rFonts w:hint="eastAsia" w:cs="宋体"/>
                <w:szCs w:val="21"/>
                <w:highlight w:val="none"/>
              </w:rPr>
            </w:pPr>
            <w:r>
              <w:rPr>
                <w:rFonts w:hint="eastAsia" w:cs="宋体"/>
                <w:szCs w:val="21"/>
                <w:highlight w:val="none"/>
              </w:rPr>
              <w:t>拟在本合同任职</w:t>
            </w:r>
          </w:p>
        </w:tc>
        <w:tc>
          <w:tcPr>
            <w:tcW w:w="8484" w:type="dxa"/>
            <w:gridSpan w:val="5"/>
            <w:vAlign w:val="center"/>
          </w:tcPr>
          <w:p>
            <w:pPr>
              <w:jc w:val="center"/>
              <w:rPr>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2" w:hRule="atLeast"/>
        </w:trPr>
        <w:tc>
          <w:tcPr>
            <w:tcW w:w="1295" w:type="dxa"/>
            <w:vAlign w:val="center"/>
          </w:tcPr>
          <w:p>
            <w:pPr>
              <w:jc w:val="center"/>
              <w:rPr>
                <w:szCs w:val="21"/>
                <w:highlight w:val="none"/>
              </w:rPr>
            </w:pPr>
            <w:r>
              <w:rPr>
                <w:rFonts w:hint="eastAsia" w:cs="宋体"/>
                <w:szCs w:val="21"/>
                <w:highlight w:val="none"/>
              </w:rPr>
              <w:t>毕业学校</w:t>
            </w:r>
          </w:p>
        </w:tc>
        <w:tc>
          <w:tcPr>
            <w:tcW w:w="8484" w:type="dxa"/>
            <w:gridSpan w:val="5"/>
            <w:vAlign w:val="center"/>
          </w:tcPr>
          <w:p>
            <w:pPr>
              <w:jc w:val="center"/>
              <w:rPr>
                <w:szCs w:val="21"/>
                <w:highlight w:val="none"/>
                <w:u w:val="single"/>
              </w:rPr>
            </w:pPr>
            <w:r>
              <w:rPr>
                <w:rFonts w:hint="eastAsia" w:cs="宋体"/>
                <w:szCs w:val="21"/>
                <w:highlight w:val="none"/>
                <w:u w:val="single"/>
              </w:rPr>
              <w:t>年毕业于</w:t>
            </w:r>
            <w:r>
              <w:rPr>
                <w:rFonts w:cs="宋体"/>
                <w:szCs w:val="21"/>
                <w:highlight w:val="none"/>
                <w:u w:val="single"/>
              </w:rPr>
              <w:t xml:space="preserve">        </w:t>
            </w:r>
            <w:r>
              <w:rPr>
                <w:rFonts w:hint="eastAsia" w:cs="宋体"/>
                <w:szCs w:val="21"/>
                <w:highlight w:val="none"/>
                <w:u w:val="single"/>
              </w:rPr>
              <w:t>学校</w:t>
            </w:r>
            <w:r>
              <w:rPr>
                <w:rFonts w:cs="宋体"/>
                <w:szCs w:val="21"/>
                <w:highlight w:val="none"/>
                <w:u w:val="single"/>
              </w:rPr>
              <w:t xml:space="preserve">       </w:t>
            </w:r>
            <w:r>
              <w:rPr>
                <w:rFonts w:hint="eastAsia" w:cs="宋体"/>
                <w:szCs w:val="21"/>
                <w:highlight w:val="none"/>
                <w:u w:val="single"/>
              </w:rPr>
              <w:t>专业</w:t>
            </w:r>
          </w:p>
        </w:tc>
      </w:tr>
    </w:tbl>
    <w:p>
      <w:pPr>
        <w:jc w:val="center"/>
        <w:rPr>
          <w:highlight w:val="none"/>
        </w:rPr>
      </w:pPr>
    </w:p>
    <w:p>
      <w:pPr>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注：</w:t>
      </w:r>
      <w:r>
        <w:rPr>
          <w:rFonts w:hint="eastAsia" w:ascii="宋体" w:hAnsi="宋体" w:cs="宋体"/>
          <w:spacing w:val="-2"/>
          <w:kern w:val="0"/>
          <w:szCs w:val="21"/>
          <w:highlight w:val="none"/>
        </w:rPr>
        <w:t>投</w:t>
      </w:r>
      <w:r>
        <w:rPr>
          <w:rFonts w:hint="eastAsia" w:ascii="宋体" w:hAnsi="宋体" w:cs="宋体"/>
          <w:kern w:val="0"/>
          <w:szCs w:val="21"/>
          <w:highlight w:val="none"/>
        </w:rPr>
        <w:t>标</w:t>
      </w:r>
      <w:r>
        <w:rPr>
          <w:rFonts w:hint="eastAsia" w:ascii="宋体" w:hAnsi="宋体" w:cs="宋体"/>
          <w:spacing w:val="-2"/>
          <w:kern w:val="0"/>
          <w:szCs w:val="21"/>
          <w:highlight w:val="none"/>
        </w:rPr>
        <w:t>人</w:t>
      </w:r>
      <w:r>
        <w:rPr>
          <w:rFonts w:hint="eastAsia" w:ascii="宋体" w:hAnsi="宋体" w:cs="宋体"/>
          <w:kern w:val="0"/>
          <w:szCs w:val="21"/>
          <w:highlight w:val="none"/>
        </w:rPr>
        <w:t>应</w:t>
      </w:r>
      <w:r>
        <w:rPr>
          <w:rFonts w:hint="eastAsia" w:ascii="宋体" w:hAnsi="宋体" w:cs="宋体"/>
          <w:spacing w:val="-2"/>
          <w:kern w:val="0"/>
          <w:szCs w:val="21"/>
          <w:highlight w:val="none"/>
        </w:rPr>
        <w:t>根</w:t>
      </w:r>
      <w:r>
        <w:rPr>
          <w:rFonts w:hint="eastAsia" w:ascii="宋体" w:hAnsi="宋体" w:cs="宋体"/>
          <w:kern w:val="0"/>
          <w:szCs w:val="21"/>
          <w:highlight w:val="none"/>
        </w:rPr>
        <w:t>据</w:t>
      </w:r>
      <w:r>
        <w:rPr>
          <w:rFonts w:hint="eastAsia" w:ascii="宋体" w:hAnsi="宋体" w:cs="宋体"/>
          <w:spacing w:val="-2"/>
          <w:kern w:val="0"/>
          <w:szCs w:val="21"/>
          <w:highlight w:val="none"/>
        </w:rPr>
        <w:t>投</w:t>
      </w:r>
      <w:r>
        <w:rPr>
          <w:rFonts w:hint="eastAsia" w:ascii="宋体" w:hAnsi="宋体" w:cs="宋体"/>
          <w:kern w:val="0"/>
          <w:szCs w:val="21"/>
          <w:highlight w:val="none"/>
        </w:rPr>
        <w:t>标</w:t>
      </w:r>
      <w:r>
        <w:rPr>
          <w:rFonts w:hint="eastAsia" w:ascii="宋体" w:hAnsi="宋体" w:cs="宋体"/>
          <w:spacing w:val="-2"/>
          <w:kern w:val="0"/>
          <w:szCs w:val="21"/>
          <w:highlight w:val="none"/>
        </w:rPr>
        <w:t>人</w:t>
      </w:r>
      <w:r>
        <w:rPr>
          <w:rFonts w:hint="eastAsia" w:ascii="宋体" w:hAnsi="宋体" w:cs="宋体"/>
          <w:kern w:val="0"/>
          <w:szCs w:val="21"/>
          <w:highlight w:val="none"/>
        </w:rPr>
        <w:t>须</w:t>
      </w:r>
      <w:r>
        <w:rPr>
          <w:rFonts w:hint="eastAsia" w:ascii="宋体" w:hAnsi="宋体" w:cs="宋体"/>
          <w:spacing w:val="-2"/>
          <w:kern w:val="0"/>
          <w:szCs w:val="21"/>
          <w:highlight w:val="none"/>
        </w:rPr>
        <w:t>知前附表</w:t>
      </w:r>
      <w:r>
        <w:rPr>
          <w:rFonts w:hint="eastAsia" w:ascii="宋体" w:hAnsi="宋体" w:cs="宋体"/>
          <w:kern w:val="0"/>
          <w:szCs w:val="21"/>
          <w:highlight w:val="none"/>
        </w:rPr>
        <w:t>第1.4.1</w:t>
      </w:r>
      <w:r>
        <w:rPr>
          <w:rFonts w:hint="eastAsia" w:ascii="宋体" w:hAnsi="宋体" w:cs="宋体"/>
          <w:spacing w:val="-2"/>
          <w:kern w:val="0"/>
          <w:szCs w:val="21"/>
          <w:highlight w:val="none"/>
        </w:rPr>
        <w:t>项</w:t>
      </w:r>
      <w:r>
        <w:rPr>
          <w:rFonts w:hint="eastAsia" w:ascii="宋体" w:hAnsi="宋体" w:cs="宋体"/>
          <w:kern w:val="0"/>
          <w:szCs w:val="21"/>
          <w:highlight w:val="none"/>
        </w:rPr>
        <w:t>的</w:t>
      </w:r>
      <w:r>
        <w:rPr>
          <w:rFonts w:hint="eastAsia" w:ascii="宋体" w:hAnsi="宋体" w:cs="宋体"/>
          <w:spacing w:val="-2"/>
          <w:kern w:val="0"/>
          <w:szCs w:val="21"/>
          <w:highlight w:val="none"/>
        </w:rPr>
        <w:t>要</w:t>
      </w:r>
      <w:r>
        <w:rPr>
          <w:rFonts w:hint="eastAsia" w:ascii="宋体" w:hAnsi="宋体" w:cs="宋体"/>
          <w:kern w:val="0"/>
          <w:szCs w:val="21"/>
          <w:highlight w:val="none"/>
        </w:rPr>
        <w:t>求</w:t>
      </w:r>
      <w:r>
        <w:rPr>
          <w:rFonts w:hint="eastAsia" w:ascii="宋体" w:hAnsi="宋体" w:cs="宋体"/>
          <w:spacing w:val="-2"/>
          <w:kern w:val="0"/>
          <w:szCs w:val="21"/>
          <w:highlight w:val="none"/>
        </w:rPr>
        <w:t>在本</w:t>
      </w:r>
      <w:r>
        <w:rPr>
          <w:rFonts w:hint="eastAsia" w:ascii="宋体" w:hAnsi="宋体" w:cs="宋体"/>
          <w:kern w:val="0"/>
          <w:szCs w:val="21"/>
          <w:highlight w:val="none"/>
        </w:rPr>
        <w:t>表后</w:t>
      </w:r>
      <w:r>
        <w:rPr>
          <w:rFonts w:hint="eastAsia" w:ascii="宋体" w:hAnsi="宋体" w:cs="宋体"/>
          <w:spacing w:val="-2"/>
          <w:kern w:val="0"/>
          <w:szCs w:val="21"/>
          <w:highlight w:val="none"/>
        </w:rPr>
        <w:t>附</w:t>
      </w:r>
      <w:r>
        <w:rPr>
          <w:rFonts w:hint="eastAsia" w:ascii="宋体" w:hAnsi="宋体" w:cs="宋体"/>
          <w:kern w:val="0"/>
          <w:szCs w:val="21"/>
          <w:highlight w:val="none"/>
        </w:rPr>
        <w:t>相</w:t>
      </w:r>
      <w:r>
        <w:rPr>
          <w:rFonts w:hint="eastAsia" w:ascii="宋体" w:hAnsi="宋体" w:cs="宋体"/>
          <w:spacing w:val="-2"/>
          <w:kern w:val="0"/>
          <w:szCs w:val="21"/>
          <w:highlight w:val="none"/>
        </w:rPr>
        <w:t>关</w:t>
      </w:r>
      <w:r>
        <w:rPr>
          <w:rFonts w:hint="eastAsia" w:ascii="宋体" w:hAnsi="宋体" w:cs="宋体"/>
          <w:kern w:val="0"/>
          <w:szCs w:val="21"/>
          <w:highlight w:val="none"/>
        </w:rPr>
        <w:t>证</w:t>
      </w:r>
      <w:r>
        <w:rPr>
          <w:rFonts w:hint="eastAsia" w:ascii="宋体" w:hAnsi="宋体" w:cs="宋体"/>
          <w:spacing w:val="-2"/>
          <w:kern w:val="0"/>
          <w:szCs w:val="21"/>
          <w:highlight w:val="none"/>
        </w:rPr>
        <w:t>明</w:t>
      </w:r>
      <w:r>
        <w:rPr>
          <w:rFonts w:hint="eastAsia" w:ascii="宋体" w:hAnsi="宋体" w:cs="宋体"/>
          <w:kern w:val="0"/>
          <w:szCs w:val="21"/>
          <w:highlight w:val="none"/>
        </w:rPr>
        <w:t>材</w:t>
      </w:r>
      <w:r>
        <w:rPr>
          <w:rFonts w:hint="eastAsia" w:ascii="宋体" w:hAnsi="宋体" w:cs="宋体"/>
          <w:spacing w:val="-2"/>
          <w:kern w:val="0"/>
          <w:szCs w:val="21"/>
          <w:highlight w:val="none"/>
        </w:rPr>
        <w:t>料</w:t>
      </w:r>
      <w:r>
        <w:rPr>
          <w:rFonts w:hint="eastAsia" w:ascii="宋体" w:hAnsi="宋体" w:cs="宋体"/>
          <w:kern w:val="0"/>
          <w:szCs w:val="21"/>
          <w:highlight w:val="none"/>
        </w:rPr>
        <w:t>。</w:t>
      </w:r>
    </w:p>
    <w:p>
      <w:pPr>
        <w:jc w:val="left"/>
        <w:rPr>
          <w:highlight w:val="none"/>
        </w:rPr>
      </w:pPr>
      <w:r>
        <w:rPr>
          <w:rFonts w:hint="eastAsia" w:ascii="宋体" w:hAnsi="宋体" w:cs="宋体"/>
          <w:kern w:val="0"/>
          <w:szCs w:val="21"/>
          <w:highlight w:val="none"/>
        </w:rPr>
        <w:br w:type="page"/>
      </w:r>
    </w:p>
    <w:p>
      <w:pPr>
        <w:autoSpaceDE w:val="0"/>
        <w:autoSpaceDN w:val="0"/>
        <w:adjustRightInd w:val="0"/>
        <w:spacing w:before="120" w:after="120"/>
        <w:ind w:right="105"/>
        <w:jc w:val="center"/>
        <w:rPr>
          <w:rFonts w:hint="eastAsia" w:ascii="Calibri" w:hAnsi="宋体" w:cs="黑体"/>
          <w:b/>
          <w:bCs/>
          <w:kern w:val="0"/>
          <w:sz w:val="28"/>
          <w:szCs w:val="28"/>
          <w:highlight w:val="none"/>
        </w:rPr>
      </w:pPr>
      <w:r>
        <w:rPr>
          <w:rFonts w:hint="eastAsia" w:ascii="Calibri" w:hAnsi="宋体" w:cs="黑体"/>
          <w:b/>
          <w:bCs/>
          <w:kern w:val="0"/>
          <w:sz w:val="28"/>
          <w:szCs w:val="28"/>
          <w:highlight w:val="none"/>
        </w:rPr>
        <w:t>（</w:t>
      </w:r>
      <w:r>
        <w:rPr>
          <w:rFonts w:hint="eastAsia" w:ascii="Calibri" w:hAnsi="宋体" w:cs="黑体"/>
          <w:b/>
          <w:bCs/>
          <w:kern w:val="0"/>
          <w:sz w:val="28"/>
          <w:szCs w:val="28"/>
          <w:highlight w:val="none"/>
          <w:lang w:val="en-US" w:eastAsia="zh-CN"/>
        </w:rPr>
        <w:t>五</w:t>
      </w:r>
      <w:r>
        <w:rPr>
          <w:rFonts w:hint="eastAsia" w:ascii="Calibri" w:hAnsi="宋体" w:cs="黑体"/>
          <w:b/>
          <w:bCs/>
          <w:kern w:val="0"/>
          <w:sz w:val="28"/>
          <w:szCs w:val="28"/>
          <w:highlight w:val="none"/>
        </w:rPr>
        <w:t>）投标截止日投标资格情况</w:t>
      </w:r>
    </w:p>
    <w:p>
      <w:pPr>
        <w:adjustRightInd w:val="0"/>
        <w:snapToGrid w:val="0"/>
        <w:spacing w:line="360" w:lineRule="auto"/>
        <w:ind w:firstLine="561"/>
        <w:jc w:val="center"/>
        <w:rPr>
          <w:rFonts w:hint="eastAsia" w:ascii="宋体" w:hAnsi="宋体"/>
          <w:b/>
          <w:szCs w:val="21"/>
          <w:highlight w:val="none"/>
        </w:rPr>
      </w:pPr>
      <w:r>
        <w:rPr>
          <w:rFonts w:hint="eastAsia" w:ascii="宋体" w:hAnsi="宋体"/>
          <w:b/>
          <w:sz w:val="28"/>
          <w:szCs w:val="28"/>
          <w:highlight w:val="none"/>
        </w:rPr>
        <w:t>承诺</w:t>
      </w:r>
    </w:p>
    <w:p>
      <w:pPr>
        <w:adjustRightInd w:val="0"/>
        <w:snapToGrid w:val="0"/>
        <w:spacing w:line="360" w:lineRule="auto"/>
        <w:rPr>
          <w:rFonts w:ascii="宋体" w:hAnsi="宋体"/>
          <w:szCs w:val="21"/>
          <w:highlight w:val="none"/>
          <w:u w:val="single"/>
        </w:rPr>
      </w:pPr>
      <w:r>
        <w:rPr>
          <w:rFonts w:hint="eastAsia" w:ascii="宋体" w:hAnsi="宋体"/>
          <w:szCs w:val="21"/>
          <w:highlight w:val="none"/>
          <w:u w:val="single"/>
        </w:rPr>
        <w:t xml:space="preserve">        （招标人名称）</w:t>
      </w:r>
      <w:r>
        <w:rPr>
          <w:rFonts w:hint="eastAsia" w:ascii="宋体" w:hAnsi="宋体"/>
          <w:szCs w:val="21"/>
          <w:highlight w:val="none"/>
        </w:rPr>
        <w:t>：</w:t>
      </w:r>
    </w:p>
    <w:p>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我公司</w:t>
      </w:r>
      <w:r>
        <w:rPr>
          <w:rFonts w:hint="eastAsia" w:ascii="宋体" w:hAnsi="宋体"/>
          <w:szCs w:val="21"/>
          <w:highlight w:val="none"/>
          <w:u w:val="single"/>
        </w:rPr>
        <w:t xml:space="preserve">        （投标人名称）</w:t>
      </w:r>
      <w:r>
        <w:rPr>
          <w:rFonts w:hint="eastAsia" w:ascii="宋体" w:hAnsi="宋体"/>
          <w:szCs w:val="21"/>
          <w:highlight w:val="none"/>
        </w:rPr>
        <w:t>参加了贵单位</w:t>
      </w:r>
      <w:r>
        <w:rPr>
          <w:rFonts w:hint="eastAsia" w:ascii="宋体" w:hAnsi="宋体"/>
          <w:szCs w:val="21"/>
          <w:highlight w:val="none"/>
          <w:u w:val="single"/>
        </w:rPr>
        <w:t xml:space="preserve">        （项目名称）</w:t>
      </w:r>
      <w:r>
        <w:rPr>
          <w:rFonts w:hint="eastAsia" w:ascii="宋体" w:hAnsi="宋体"/>
          <w:szCs w:val="21"/>
          <w:highlight w:val="none"/>
        </w:rPr>
        <w:t>的投标，自愿作出以下承诺：</w:t>
      </w:r>
    </w:p>
    <w:p>
      <w:pPr>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1、我公司投标截止日不存在下列情形之一：</w:t>
      </w:r>
    </w:p>
    <w:p>
      <w:pPr>
        <w:adjustRightInd w:val="0"/>
        <w:snapToGri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（1）被人民法院列入失信被执行人名单且在被执行期内；</w:t>
      </w:r>
    </w:p>
    <w:p>
      <w:pPr>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（2）被国家、重庆市（含市或任意区县）有关行政部门处以暂停投标资格行政处罚，且在处罚期限内。</w:t>
      </w:r>
    </w:p>
    <w:p>
      <w:pPr>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我公司在投标文件中提供的相关证明材料真实有效，不存在弄虚作假情形。招标人在合同签订前均有权对我司提供的资料进行核实，若发现弄虚作假，取消中标资格，投标保证金不予退还，我司自愿承担因此造成的相关责任并赔偿相应损失。</w:t>
      </w:r>
    </w:p>
    <w:p>
      <w:pPr>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3、我公司不存在第二章 投标人须知第1.4.3项规定的任何一种情形。</w:t>
      </w:r>
    </w:p>
    <w:p>
      <w:pPr>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4、我公司的投标文件符合第二章 投标人须知第1.3.1项的规定。</w:t>
      </w:r>
    </w:p>
    <w:p>
      <w:pPr>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5、我公司的投标文件符合第四章 合同条款及格式规定，投标文件中没有招标人不能接受的条件。</w:t>
      </w:r>
    </w:p>
    <w:p>
      <w:pPr>
        <w:widowControl/>
        <w:adjustRightInd w:val="0"/>
        <w:snapToGrid w:val="0"/>
        <w:spacing w:line="360" w:lineRule="auto"/>
        <w:ind w:firstLine="420"/>
        <w:jc w:val="left"/>
        <w:rPr>
          <w:rFonts w:ascii="宋体" w:hAnsi="宋体" w:cs="宋体"/>
          <w:kern w:val="0"/>
          <w:szCs w:val="21"/>
          <w:highlight w:val="none"/>
        </w:rPr>
      </w:pPr>
    </w:p>
    <w:p>
      <w:pPr>
        <w:adjustRightInd w:val="0"/>
        <w:snapToGrid w:val="0"/>
        <w:spacing w:line="360" w:lineRule="auto"/>
        <w:ind w:firstLine="420"/>
        <w:jc w:val="right"/>
        <w:rPr>
          <w:rFonts w:hint="eastAsia" w:ascii="宋体" w:hAnsi="宋体" w:cs="宋体"/>
          <w:szCs w:val="21"/>
          <w:highlight w:val="none"/>
        </w:rPr>
      </w:pPr>
    </w:p>
    <w:p>
      <w:pPr>
        <w:adjustRightInd w:val="0"/>
        <w:snapToGrid w:val="0"/>
        <w:spacing w:line="360" w:lineRule="auto"/>
        <w:ind w:firstLine="420"/>
        <w:jc w:val="center"/>
        <w:rPr>
          <w:rFonts w:ascii="宋体" w:hAnsi="宋体" w:cs="宋体"/>
          <w:szCs w:val="21"/>
          <w:highlight w:val="none"/>
        </w:rPr>
      </w:pPr>
      <w:r>
        <w:rPr>
          <w:rFonts w:hint="eastAsia" w:ascii="宋体" w:hAnsi="宋体" w:cs="宋体"/>
          <w:szCs w:val="21"/>
          <w:highlight w:val="none"/>
        </w:rPr>
        <w:t xml:space="preserve">                               投标人：</w:t>
      </w:r>
      <w:r>
        <w:rPr>
          <w:rFonts w:hint="eastAsia" w:ascii="宋体" w:hAnsi="宋体" w:cs="宋体"/>
          <w:szCs w:val="21"/>
          <w:highlight w:val="none"/>
          <w:u w:val="single"/>
        </w:rPr>
        <w:t xml:space="preserve">               </w:t>
      </w:r>
      <w:r>
        <w:rPr>
          <w:rFonts w:hint="eastAsia" w:ascii="宋体" w:hAnsi="宋体" w:cs="宋体"/>
          <w:szCs w:val="21"/>
          <w:highlight w:val="none"/>
        </w:rPr>
        <w:t>（盖单位公章）</w:t>
      </w:r>
    </w:p>
    <w:p>
      <w:pPr>
        <w:pStyle w:val="26"/>
        <w:spacing w:after="0" w:line="360" w:lineRule="auto"/>
        <w:ind w:left="1"/>
        <w:jc w:val="center"/>
        <w:rPr>
          <w:rFonts w:hint="eastAsia" w:ascii="宋体" w:hAnsi="宋体" w:eastAsia="宋体" w:cs="宋体"/>
          <w:b/>
          <w:bCs/>
          <w:sz w:val="28"/>
          <w:szCs w:val="28"/>
          <w:highlight w:val="none"/>
        </w:rPr>
      </w:pPr>
      <w:r>
        <w:rPr>
          <w:rFonts w:hint="eastAsia" w:ascii="宋体" w:hAnsi="宋体" w:cs="宋体"/>
          <w:szCs w:val="21"/>
          <w:highlight w:val="none"/>
        </w:rPr>
        <w:t xml:space="preserve">                                         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r>
        <w:rPr>
          <w:rFonts w:hint="eastAsia" w:ascii="宋体" w:hAnsi="宋体" w:cs="宋体"/>
          <w:sz w:val="28"/>
          <w:szCs w:val="28"/>
          <w:highlight w:val="none"/>
        </w:rPr>
        <w:br w:type="page"/>
      </w:r>
      <w:r>
        <w:rPr>
          <w:rFonts w:hint="eastAsia" w:ascii="宋体" w:hAnsi="宋体" w:eastAsia="宋体" w:cs="宋体"/>
          <w:b/>
          <w:bCs/>
          <w:sz w:val="28"/>
          <w:szCs w:val="28"/>
          <w:highlight w:val="none"/>
        </w:rPr>
        <w:t>（</w:t>
      </w:r>
      <w:r>
        <w:rPr>
          <w:rFonts w:hint="eastAsia" w:ascii="宋体" w:hAnsi="宋体" w:eastAsia="宋体" w:cs="宋体"/>
          <w:b/>
          <w:bCs/>
          <w:sz w:val="28"/>
          <w:szCs w:val="28"/>
          <w:highlight w:val="none"/>
          <w:lang w:val="en-US" w:eastAsia="zh-CN"/>
        </w:rPr>
        <w:t>六</w:t>
      </w:r>
      <w:r>
        <w:rPr>
          <w:rFonts w:hint="eastAsia" w:ascii="宋体" w:hAnsi="宋体" w:eastAsia="宋体" w:cs="宋体"/>
          <w:b/>
          <w:bCs/>
          <w:sz w:val="28"/>
          <w:szCs w:val="28"/>
          <w:highlight w:val="none"/>
        </w:rPr>
        <w:t>）其他要求</w:t>
      </w:r>
    </w:p>
    <w:p>
      <w:pPr>
        <w:pStyle w:val="26"/>
        <w:spacing w:after="0"/>
        <w:ind w:left="1"/>
        <w:jc w:val="center"/>
        <w:rPr>
          <w:rFonts w:hint="eastAsia" w:ascii="宋体" w:hAnsi="宋体" w:eastAsia="宋体" w:cs="宋体"/>
          <w:b/>
          <w:bCs/>
          <w:sz w:val="28"/>
          <w:szCs w:val="28"/>
          <w:highlight w:val="none"/>
        </w:rPr>
      </w:pPr>
      <w:r>
        <w:rPr>
          <w:rFonts w:hint="eastAsia" w:ascii="宋体" w:hAnsi="宋体" w:eastAsia="宋体" w:cs="宋体"/>
          <w:b/>
          <w:sz w:val="28"/>
          <w:highlight w:val="none"/>
        </w:rPr>
        <w:t>承诺</w:t>
      </w:r>
    </w:p>
    <w:p>
      <w:pPr>
        <w:snapToGrid w:val="0"/>
        <w:spacing w:line="400" w:lineRule="exact"/>
        <w:rPr>
          <w:rFonts w:hint="eastAsia" w:ascii="宋体" w:hAnsi="宋体" w:cs="宋体"/>
          <w:szCs w:val="21"/>
          <w:highlight w:val="none"/>
          <w:u w:val="single"/>
        </w:rPr>
      </w:pPr>
      <w:r>
        <w:rPr>
          <w:rFonts w:hint="eastAsia" w:ascii="宋体" w:hAnsi="宋体" w:cs="宋体"/>
          <w:szCs w:val="21"/>
          <w:highlight w:val="none"/>
          <w:u w:val="single"/>
        </w:rPr>
        <w:t xml:space="preserve">        （招标人名称）</w:t>
      </w:r>
      <w:r>
        <w:rPr>
          <w:rFonts w:hint="eastAsia" w:ascii="宋体" w:hAnsi="宋体" w:cs="宋体"/>
          <w:szCs w:val="21"/>
          <w:highlight w:val="none"/>
        </w:rPr>
        <w:t>：</w:t>
      </w:r>
    </w:p>
    <w:p>
      <w:pPr>
        <w:snapToGrid w:val="0"/>
        <w:spacing w:line="400" w:lineRule="exact"/>
        <w:ind w:firstLine="420" w:firstLineChars="200"/>
        <w:rPr>
          <w:szCs w:val="21"/>
          <w:highlight w:val="none"/>
        </w:rPr>
      </w:pPr>
      <w:r>
        <w:rPr>
          <w:rFonts w:hint="eastAsia"/>
          <w:szCs w:val="21"/>
          <w:highlight w:val="none"/>
        </w:rPr>
        <w:t>我公司</w:t>
      </w:r>
      <w:r>
        <w:rPr>
          <w:szCs w:val="21"/>
          <w:highlight w:val="none"/>
          <w:u w:val="single"/>
        </w:rPr>
        <w:t xml:space="preserve">        （投标人名称）</w:t>
      </w:r>
      <w:r>
        <w:rPr>
          <w:rFonts w:hint="eastAsia"/>
          <w:szCs w:val="21"/>
          <w:highlight w:val="none"/>
        </w:rPr>
        <w:t>参加了贵单位</w:t>
      </w:r>
      <w:r>
        <w:rPr>
          <w:szCs w:val="21"/>
          <w:highlight w:val="none"/>
          <w:u w:val="single"/>
        </w:rPr>
        <w:t xml:space="preserve">        （项目名称）</w:t>
      </w:r>
      <w:r>
        <w:rPr>
          <w:rFonts w:hint="eastAsia"/>
          <w:szCs w:val="21"/>
          <w:highlight w:val="none"/>
        </w:rPr>
        <w:t>的投标，自愿作出以下承诺：</w:t>
      </w:r>
    </w:p>
    <w:p>
      <w:pPr>
        <w:snapToGrid w:val="0"/>
        <w:spacing w:line="400" w:lineRule="exact"/>
        <w:ind w:firstLine="420" w:firstLineChars="200"/>
        <w:rPr>
          <w:szCs w:val="21"/>
          <w:highlight w:val="none"/>
        </w:rPr>
      </w:pPr>
      <w:r>
        <w:rPr>
          <w:rFonts w:hint="eastAsia"/>
          <w:szCs w:val="21"/>
          <w:highlight w:val="none"/>
        </w:rPr>
        <w:t>我公司</w:t>
      </w:r>
      <w:r>
        <w:rPr>
          <w:rFonts w:hint="eastAsia" w:ascii="宋体" w:hAnsi="宋体"/>
          <w:szCs w:val="21"/>
          <w:highlight w:val="none"/>
        </w:rPr>
        <w:t>拟派人员全部到岗尽责</w:t>
      </w:r>
      <w:r>
        <w:rPr>
          <w:rFonts w:hint="eastAsia"/>
          <w:szCs w:val="21"/>
          <w:highlight w:val="none"/>
        </w:rPr>
        <w:t>，</w:t>
      </w:r>
      <w:r>
        <w:rPr>
          <w:rFonts w:hint="eastAsia" w:ascii="宋体" w:hAnsi="宋体"/>
          <w:szCs w:val="21"/>
          <w:highlight w:val="none"/>
        </w:rPr>
        <w:t>未经招标人允许不得擅自更换，如果擅自更</w:t>
      </w:r>
      <w:r>
        <w:rPr>
          <w:rFonts w:hint="eastAsia" w:ascii="宋体" w:hAnsi="宋体"/>
          <w:szCs w:val="21"/>
          <w:highlight w:val="none"/>
          <w:lang w:eastAsia="zh-CN"/>
        </w:rPr>
        <w:t>换</w:t>
      </w:r>
      <w:r>
        <w:rPr>
          <w:rFonts w:hint="eastAsia" w:ascii="宋体" w:hAnsi="宋体"/>
          <w:szCs w:val="21"/>
          <w:highlight w:val="none"/>
        </w:rPr>
        <w:t>，招标人有权取消我</w:t>
      </w:r>
      <w:r>
        <w:rPr>
          <w:rFonts w:hint="eastAsia"/>
          <w:szCs w:val="21"/>
          <w:highlight w:val="none"/>
        </w:rPr>
        <w:t>公司</w:t>
      </w:r>
      <w:r>
        <w:rPr>
          <w:rFonts w:hint="eastAsia" w:ascii="宋体" w:hAnsi="宋体"/>
          <w:szCs w:val="21"/>
          <w:highlight w:val="none"/>
        </w:rPr>
        <w:t>中标人资格</w:t>
      </w:r>
      <w:r>
        <w:rPr>
          <w:rFonts w:hint="eastAsia"/>
          <w:szCs w:val="21"/>
          <w:highlight w:val="none"/>
        </w:rPr>
        <w:t>；</w:t>
      </w:r>
      <w:r>
        <w:rPr>
          <w:rFonts w:hint="eastAsia" w:ascii="宋体" w:hAnsi="宋体"/>
          <w:szCs w:val="21"/>
          <w:highlight w:val="none"/>
        </w:rPr>
        <w:t>在合同履行期间，如未经招标人允许，我</w:t>
      </w:r>
      <w:r>
        <w:rPr>
          <w:rFonts w:hint="eastAsia"/>
          <w:szCs w:val="21"/>
          <w:highlight w:val="none"/>
        </w:rPr>
        <w:t>公司</w:t>
      </w:r>
      <w:r>
        <w:rPr>
          <w:rFonts w:hint="eastAsia" w:ascii="宋体" w:hAnsi="宋体"/>
          <w:szCs w:val="21"/>
          <w:highlight w:val="none"/>
        </w:rPr>
        <w:t>擅自更换项目主要人员的，招标人有权终止合同并追究我</w:t>
      </w:r>
      <w:r>
        <w:rPr>
          <w:rFonts w:hint="eastAsia"/>
          <w:szCs w:val="21"/>
          <w:highlight w:val="none"/>
        </w:rPr>
        <w:t>公司</w:t>
      </w:r>
      <w:r>
        <w:rPr>
          <w:rFonts w:hint="eastAsia" w:ascii="宋体" w:hAnsi="宋体"/>
          <w:szCs w:val="21"/>
          <w:highlight w:val="none"/>
        </w:rPr>
        <w:t>责任。</w:t>
      </w:r>
    </w:p>
    <w:p>
      <w:pPr>
        <w:snapToGrid w:val="0"/>
        <w:spacing w:line="400" w:lineRule="exact"/>
        <w:ind w:firstLine="420" w:firstLineChars="200"/>
        <w:rPr>
          <w:szCs w:val="21"/>
          <w:highlight w:val="none"/>
        </w:rPr>
      </w:pPr>
    </w:p>
    <w:p>
      <w:pPr>
        <w:snapToGrid w:val="0"/>
        <w:spacing w:line="400" w:lineRule="exact"/>
        <w:ind w:firstLine="420" w:firstLineChars="200"/>
        <w:rPr>
          <w:szCs w:val="21"/>
          <w:highlight w:val="none"/>
        </w:rPr>
      </w:pPr>
    </w:p>
    <w:p>
      <w:pPr>
        <w:adjustRightInd w:val="0"/>
        <w:snapToGrid w:val="0"/>
        <w:spacing w:line="360" w:lineRule="auto"/>
        <w:ind w:firstLine="420"/>
        <w:jc w:val="center"/>
        <w:rPr>
          <w:rFonts w:ascii="宋体" w:hAnsi="宋体" w:cs="宋体"/>
          <w:szCs w:val="21"/>
          <w:highlight w:val="none"/>
        </w:rPr>
      </w:pPr>
      <w:r>
        <w:rPr>
          <w:rFonts w:hint="eastAsia" w:ascii="宋体" w:hAnsi="宋体" w:cs="宋体"/>
          <w:szCs w:val="21"/>
          <w:highlight w:val="none"/>
          <w:lang w:val="en-US" w:eastAsia="zh-CN"/>
        </w:rPr>
        <w:t xml:space="preserve">                                                 </w:t>
      </w:r>
      <w:r>
        <w:rPr>
          <w:rFonts w:hint="eastAsia" w:ascii="宋体" w:hAnsi="宋体" w:cs="宋体"/>
          <w:szCs w:val="21"/>
          <w:highlight w:val="none"/>
        </w:rPr>
        <w:t>投标人：</w:t>
      </w:r>
      <w:r>
        <w:rPr>
          <w:rFonts w:hint="eastAsia" w:ascii="宋体" w:hAnsi="宋体" w:cs="宋体"/>
          <w:szCs w:val="21"/>
          <w:highlight w:val="none"/>
          <w:u w:val="single"/>
        </w:rPr>
        <w:t xml:space="preserve">               </w:t>
      </w:r>
      <w:r>
        <w:rPr>
          <w:rFonts w:hint="eastAsia" w:ascii="宋体" w:hAnsi="宋体" w:cs="宋体"/>
          <w:szCs w:val="21"/>
          <w:highlight w:val="none"/>
        </w:rPr>
        <w:t>（盖单位公章）</w:t>
      </w:r>
    </w:p>
    <w:p>
      <w:pPr>
        <w:tabs>
          <w:tab w:val="left" w:pos="6300"/>
        </w:tabs>
        <w:autoSpaceDE w:val="0"/>
        <w:autoSpaceDN w:val="0"/>
        <w:adjustRightInd w:val="0"/>
        <w:snapToGrid w:val="0"/>
        <w:spacing w:line="360" w:lineRule="auto"/>
        <w:ind w:firstLine="420" w:firstLineChars="200"/>
        <w:jc w:val="left"/>
        <w:rPr>
          <w:kern w:val="0"/>
          <w:szCs w:val="21"/>
          <w:highlight w:val="none"/>
        </w:rPr>
      </w:pP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日</w:t>
      </w:r>
    </w:p>
    <w:p>
      <w:pPr>
        <w:pStyle w:val="26"/>
        <w:spacing w:after="0" w:line="360" w:lineRule="auto"/>
        <w:ind w:left="1"/>
        <w:jc w:val="center"/>
        <w:rPr>
          <w:rFonts w:hint="eastAsia" w:ascii="宋体" w:hAnsi="宋体" w:eastAsia="宋体" w:cs="宋体"/>
          <w:b/>
          <w:bCs/>
          <w:sz w:val="28"/>
          <w:szCs w:val="28"/>
          <w:highlight w:val="none"/>
        </w:rPr>
      </w:pPr>
      <w:r>
        <w:rPr>
          <w:rFonts w:hint="eastAsia" w:ascii="宋体" w:hAnsi="宋体" w:cs="黑体"/>
          <w:b/>
          <w:bCs/>
          <w:sz w:val="28"/>
          <w:szCs w:val="28"/>
          <w:highlight w:val="none"/>
        </w:rPr>
        <w:br w:type="page"/>
      </w:r>
      <w:r>
        <w:rPr>
          <w:rFonts w:hint="eastAsia" w:ascii="宋体" w:hAnsi="宋体" w:eastAsia="宋体" w:cs="宋体"/>
          <w:b/>
          <w:bCs/>
          <w:sz w:val="28"/>
          <w:szCs w:val="28"/>
          <w:highlight w:val="none"/>
        </w:rPr>
        <w:t>（</w:t>
      </w:r>
      <w:r>
        <w:rPr>
          <w:rFonts w:hint="eastAsia" w:ascii="宋体" w:hAnsi="宋体" w:eastAsia="宋体" w:cs="宋体"/>
          <w:b/>
          <w:bCs/>
          <w:sz w:val="28"/>
          <w:szCs w:val="28"/>
          <w:highlight w:val="none"/>
          <w:lang w:val="en-US" w:eastAsia="zh-CN"/>
        </w:rPr>
        <w:t>七</w:t>
      </w:r>
      <w:r>
        <w:rPr>
          <w:rFonts w:hint="eastAsia" w:ascii="宋体" w:hAnsi="宋体" w:eastAsia="宋体" w:cs="宋体"/>
          <w:b/>
          <w:bCs/>
          <w:sz w:val="28"/>
          <w:szCs w:val="28"/>
          <w:highlight w:val="none"/>
        </w:rPr>
        <w:t>）其他资料</w:t>
      </w:r>
    </w:p>
    <w:p>
      <w:pPr>
        <w:adjustRightInd w:val="0"/>
        <w:snapToGrid w:val="0"/>
        <w:spacing w:line="360" w:lineRule="auto"/>
        <w:ind w:firstLine="420" w:firstLineChars="200"/>
        <w:jc w:val="both"/>
        <w:rPr>
          <w:rFonts w:ascii="宋体" w:hAnsi="宋体"/>
          <w:sz w:val="21"/>
          <w:szCs w:val="21"/>
        </w:rPr>
      </w:pPr>
      <w:r>
        <w:rPr>
          <w:rFonts w:hint="eastAsia" w:ascii="宋体" w:hAnsi="宋体"/>
          <w:sz w:val="21"/>
          <w:szCs w:val="21"/>
        </w:rPr>
        <w:t>1. 投标保证金</w:t>
      </w:r>
    </w:p>
    <w:p>
      <w:pPr>
        <w:adjustRightInd w:val="0"/>
        <w:snapToGrid w:val="0"/>
        <w:spacing w:line="360" w:lineRule="auto"/>
        <w:ind w:firstLine="420" w:firstLineChars="200"/>
        <w:jc w:val="both"/>
        <w:rPr>
          <w:rFonts w:ascii="宋体" w:hAnsi="宋体"/>
          <w:i/>
          <w:sz w:val="21"/>
          <w:szCs w:val="21"/>
        </w:rPr>
      </w:pPr>
      <w:r>
        <w:rPr>
          <w:rFonts w:hint="eastAsia" w:ascii="宋体" w:hAnsi="宋体"/>
          <w:i/>
          <w:sz w:val="21"/>
          <w:szCs w:val="21"/>
        </w:rPr>
        <w:t>[提示：以转账支票或电汇形式交纳投标保证金的提供以下资料]</w:t>
      </w:r>
    </w:p>
    <w:p>
      <w:pPr>
        <w:adjustRightInd w:val="0"/>
        <w:snapToGrid w:val="0"/>
        <w:spacing w:line="360" w:lineRule="auto"/>
        <w:ind w:firstLine="420" w:firstLineChars="200"/>
        <w:jc w:val="both"/>
        <w:rPr>
          <w:rFonts w:ascii="宋体" w:hAnsi="宋体"/>
          <w:sz w:val="21"/>
          <w:szCs w:val="21"/>
        </w:rPr>
      </w:pPr>
      <w:r>
        <w:rPr>
          <w:rFonts w:hint="eastAsia" w:ascii="宋体" w:hAnsi="宋体"/>
          <w:sz w:val="21"/>
          <w:szCs w:val="21"/>
        </w:rPr>
        <w:t>（1）企业基本账户开户证明文件。</w:t>
      </w:r>
    </w:p>
    <w:p>
      <w:pPr>
        <w:adjustRightInd w:val="0"/>
        <w:snapToGrid w:val="0"/>
        <w:spacing w:line="360" w:lineRule="auto"/>
        <w:ind w:firstLine="420" w:firstLineChars="200"/>
        <w:jc w:val="both"/>
        <w:rPr>
          <w:rFonts w:ascii="宋体" w:hAnsi="宋体"/>
          <w:i/>
          <w:sz w:val="21"/>
          <w:szCs w:val="21"/>
        </w:rPr>
      </w:pPr>
      <w:r>
        <w:rPr>
          <w:rFonts w:hint="eastAsia" w:ascii="宋体" w:hAnsi="宋体"/>
          <w:i/>
          <w:sz w:val="21"/>
          <w:szCs w:val="21"/>
        </w:rPr>
        <w:t>[提示：以纸质投标保函形式交纳投标保证金的提供以下资料]</w:t>
      </w:r>
    </w:p>
    <w:p>
      <w:pPr>
        <w:adjustRightInd w:val="0"/>
        <w:snapToGrid w:val="0"/>
        <w:spacing w:line="360" w:lineRule="auto"/>
        <w:ind w:firstLine="420" w:firstLineChars="200"/>
        <w:jc w:val="both"/>
        <w:rPr>
          <w:rFonts w:ascii="宋体" w:hAnsi="宋体"/>
          <w:sz w:val="21"/>
          <w:szCs w:val="21"/>
        </w:rPr>
      </w:pPr>
      <w:r>
        <w:rPr>
          <w:rFonts w:hint="eastAsia" w:ascii="宋体" w:hAnsi="宋体"/>
          <w:sz w:val="21"/>
          <w:szCs w:val="21"/>
        </w:rPr>
        <w:t>（1）纸质保函；</w:t>
      </w:r>
    </w:p>
    <w:p>
      <w:pPr>
        <w:adjustRightInd w:val="0"/>
        <w:snapToGrid w:val="0"/>
        <w:spacing w:line="360" w:lineRule="auto"/>
        <w:ind w:firstLine="420" w:firstLineChars="200"/>
        <w:jc w:val="both"/>
        <w:rPr>
          <w:rFonts w:ascii="宋体" w:hAnsi="宋体"/>
          <w:sz w:val="21"/>
          <w:szCs w:val="21"/>
        </w:rPr>
      </w:pPr>
      <w:r>
        <w:rPr>
          <w:rFonts w:hint="eastAsia" w:ascii="宋体" w:hAnsi="宋体"/>
          <w:sz w:val="21"/>
          <w:szCs w:val="21"/>
        </w:rPr>
        <w:t>（2）纸质投标保函的核验地点、方式和联系人。</w:t>
      </w:r>
    </w:p>
    <w:p>
      <w:pPr>
        <w:adjustRightInd w:val="0"/>
        <w:snapToGrid w:val="0"/>
        <w:spacing w:line="360" w:lineRule="auto"/>
        <w:ind w:firstLine="420" w:firstLineChars="200"/>
        <w:jc w:val="both"/>
        <w:rPr>
          <w:rFonts w:ascii="宋体" w:hAnsi="宋体"/>
          <w:sz w:val="21"/>
        </w:rPr>
      </w:pPr>
      <w:r>
        <w:rPr>
          <w:rFonts w:hint="eastAsia" w:ascii="宋体" w:hAnsi="宋体"/>
          <w:sz w:val="21"/>
          <w:szCs w:val="21"/>
        </w:rPr>
        <w:t xml:space="preserve">2. </w:t>
      </w:r>
      <w:r>
        <w:rPr>
          <w:rFonts w:hint="eastAsia" w:ascii="宋体" w:hAnsi="宋体"/>
          <w:sz w:val="21"/>
        </w:rPr>
        <w:t>投标人须知前附表和评标办法规定的其他资料。</w:t>
      </w:r>
    </w:p>
    <w:p>
      <w:pPr>
        <w:pStyle w:val="2"/>
        <w:adjustRightInd w:val="0"/>
        <w:snapToGrid w:val="0"/>
        <w:spacing w:line="360" w:lineRule="auto"/>
        <w:ind w:firstLine="420" w:firstLineChars="200"/>
        <w:rPr>
          <w:rFonts w:ascii="宋体" w:hAnsi="宋体"/>
          <w:kern w:val="0"/>
          <w:sz w:val="21"/>
        </w:rPr>
      </w:pPr>
      <w:r>
        <w:rPr>
          <w:rFonts w:hint="eastAsia" w:ascii="宋体" w:hAnsi="宋体"/>
          <w:kern w:val="0"/>
          <w:sz w:val="21"/>
        </w:rPr>
        <w:t>3</w:t>
      </w:r>
      <w:r>
        <w:rPr>
          <w:rFonts w:ascii="宋体" w:hAnsi="宋体"/>
          <w:kern w:val="0"/>
          <w:sz w:val="21"/>
        </w:rPr>
        <w:t>.</w:t>
      </w:r>
    </w:p>
    <w:p>
      <w:pPr>
        <w:spacing w:line="360" w:lineRule="auto"/>
        <w:ind w:firstLine="420" w:firstLineChars="200"/>
        <w:rPr>
          <w:rFonts w:hint="eastAsia" w:ascii="宋体" w:hAnsi="宋体"/>
          <w:szCs w:val="21"/>
          <w:highlight w:val="none"/>
        </w:rPr>
      </w:pPr>
      <w:r>
        <w:rPr>
          <w:rFonts w:ascii="宋体" w:hAnsi="宋体"/>
          <w:sz w:val="21"/>
          <w:szCs w:val="21"/>
        </w:rPr>
        <w:t>……</w:t>
      </w:r>
    </w:p>
    <w:p>
      <w:pPr>
        <w:autoSpaceDE w:val="0"/>
        <w:autoSpaceDN w:val="0"/>
        <w:adjustRightInd w:val="0"/>
        <w:spacing w:before="120" w:after="120"/>
        <w:ind w:left="105" w:right="105" w:firstLine="560"/>
        <w:jc w:val="center"/>
        <w:rPr>
          <w:rFonts w:hint="eastAsia" w:ascii="宋体" w:hAnsi="宋体" w:cs="宋体"/>
          <w:kern w:val="0"/>
          <w:sz w:val="28"/>
          <w:szCs w:val="28"/>
          <w:highlight w:val="none"/>
        </w:rPr>
      </w:pPr>
    </w:p>
    <w:p>
      <w:pPr>
        <w:autoSpaceDE w:val="0"/>
        <w:autoSpaceDN w:val="0"/>
        <w:adjustRightInd w:val="0"/>
        <w:spacing w:before="120" w:after="120"/>
        <w:ind w:left="105" w:right="105" w:firstLine="420"/>
        <w:jc w:val="left"/>
        <w:rPr>
          <w:rFonts w:ascii="宋体" w:hAnsi="宋体" w:cs="宋体"/>
          <w:kern w:val="0"/>
          <w:szCs w:val="21"/>
          <w:highlight w:val="none"/>
        </w:rPr>
      </w:pPr>
    </w:p>
    <w:p>
      <w:pPr>
        <w:pStyle w:val="26"/>
        <w:snapToGrid/>
        <w:spacing w:after="0" w:line="360" w:lineRule="auto"/>
        <w:ind w:firstLine="0" w:firstLineChars="0"/>
        <w:jc w:val="center"/>
        <w:outlineLvl w:val="1"/>
        <w:rPr>
          <w:rFonts w:hint="eastAsia" w:hAnsi="宋体" w:cs="黑体"/>
          <w:b/>
          <w:bCs/>
          <w:sz w:val="21"/>
          <w:szCs w:val="21"/>
          <w:highlight w:val="none"/>
        </w:rPr>
      </w:pPr>
      <w:r>
        <w:rPr>
          <w:rFonts w:hint="eastAsia" w:ascii="宋体" w:hAnsi="宋体" w:cs="宋体"/>
          <w:spacing w:val="2"/>
          <w:w w:val="99"/>
          <w:position w:val="-1"/>
          <w:sz w:val="32"/>
          <w:szCs w:val="32"/>
          <w:highlight w:val="none"/>
        </w:rPr>
        <w:br w:type="page"/>
      </w:r>
      <w:bookmarkStart w:id="183" w:name="_Toc25457"/>
      <w:bookmarkStart w:id="184" w:name="_Toc29659"/>
      <w:bookmarkStart w:id="185" w:name="_Toc25705"/>
      <w:bookmarkStart w:id="186" w:name="_Toc14023"/>
      <w:r>
        <w:rPr>
          <w:rFonts w:hint="eastAsia" w:hAnsi="宋体" w:cs="黑体"/>
          <w:b/>
          <w:bCs/>
          <w:sz w:val="28"/>
          <w:szCs w:val="28"/>
          <w:highlight w:val="none"/>
        </w:rPr>
        <w:t>三、商务部分</w:t>
      </w:r>
      <w:bookmarkEnd w:id="183"/>
      <w:bookmarkEnd w:id="184"/>
      <w:bookmarkEnd w:id="185"/>
      <w:bookmarkEnd w:id="186"/>
    </w:p>
    <w:p>
      <w:pPr>
        <w:autoSpaceDE w:val="0"/>
        <w:autoSpaceDN w:val="0"/>
        <w:adjustRightInd w:val="0"/>
        <w:snapToGrid w:val="0"/>
        <w:spacing w:line="360" w:lineRule="auto"/>
        <w:ind w:firstLine="420" w:firstLineChars="200"/>
        <w:jc w:val="left"/>
        <w:rPr>
          <w:rFonts w:ascii="宋体" w:hAnsi="宋体" w:cs="宋体"/>
          <w:kern w:val="0"/>
          <w:szCs w:val="21"/>
          <w:highlight w:val="none"/>
        </w:rPr>
      </w:pPr>
      <w:bookmarkStart w:id="187" w:name="_Toc11518"/>
      <w:bookmarkStart w:id="188" w:name="_Toc513063955"/>
      <w:bookmarkStart w:id="189" w:name="_Toc513063945"/>
      <w:bookmarkStart w:id="190" w:name="_Toc64"/>
    </w:p>
    <w:p>
      <w:pPr>
        <w:pStyle w:val="26"/>
        <w:snapToGrid w:val="0"/>
        <w:spacing w:after="0" w:line="360" w:lineRule="auto"/>
        <w:ind w:firstLine="420" w:firstLineChars="200"/>
        <w:rPr>
          <w:rFonts w:hint="eastAsia" w:ascii="宋体" w:hAnsi="宋体" w:eastAsia="宋体" w:cs="宋体"/>
          <w:snapToGrid w:val="0"/>
          <w:sz w:val="21"/>
          <w:szCs w:val="21"/>
          <w:highlight w:val="none"/>
        </w:rPr>
      </w:pPr>
    </w:p>
    <w:p>
      <w:pPr>
        <w:pStyle w:val="26"/>
        <w:snapToGrid w:val="0"/>
        <w:spacing w:after="0" w:line="360" w:lineRule="auto"/>
        <w:ind w:firstLine="420" w:firstLineChars="20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br w:type="page"/>
      </w:r>
    </w:p>
    <w:p>
      <w:pPr>
        <w:pStyle w:val="26"/>
        <w:spacing w:after="0" w:line="360" w:lineRule="auto"/>
        <w:ind w:left="1"/>
        <w:jc w:val="center"/>
        <w:rPr>
          <w:rFonts w:hint="eastAsia" w:ascii="宋体" w:hAnsi="宋体" w:eastAsia="宋体" w:cs="宋体"/>
          <w:b/>
          <w:bCs/>
          <w:sz w:val="28"/>
          <w:szCs w:val="28"/>
          <w:highlight w:val="none"/>
          <w:lang w:eastAsia="zh-CN"/>
        </w:rPr>
      </w:pPr>
    </w:p>
    <w:p>
      <w:pPr>
        <w:pStyle w:val="26"/>
        <w:spacing w:after="0" w:line="360" w:lineRule="auto"/>
        <w:ind w:left="1"/>
        <w:jc w:val="center"/>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lang w:val="en-US" w:eastAsia="zh-CN"/>
        </w:rPr>
        <w:t>一</w:t>
      </w: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rPr>
        <w:t>企业实力</w:t>
      </w:r>
      <w:r>
        <w:rPr>
          <w:rFonts w:hint="eastAsia" w:ascii="宋体" w:hAnsi="宋体" w:eastAsia="宋体" w:cs="宋体"/>
          <w:b/>
          <w:bCs/>
          <w:sz w:val="28"/>
          <w:szCs w:val="28"/>
          <w:highlight w:val="none"/>
          <w:lang w:eastAsia="zh-CN"/>
        </w:rPr>
        <w:br w:type="textWrapping"/>
      </w:r>
    </w:p>
    <w:p>
      <w:pPr>
        <w:pStyle w:val="26"/>
        <w:spacing w:after="0" w:line="360" w:lineRule="auto"/>
        <w:ind w:left="1"/>
        <w:jc w:val="center"/>
        <w:rPr>
          <w:rFonts w:hint="eastAsia" w:ascii="宋体" w:hAnsi="宋体" w:eastAsia="宋体" w:cs="宋体"/>
          <w:b/>
          <w:bCs/>
          <w:sz w:val="28"/>
          <w:szCs w:val="28"/>
          <w:highlight w:val="none"/>
          <w:lang w:eastAsia="zh-CN"/>
        </w:rPr>
      </w:pPr>
      <w:r>
        <w:rPr>
          <w:rFonts w:hint="eastAsia" w:ascii="宋体" w:hAnsi="宋体" w:eastAsia="宋体" w:cs="宋体"/>
          <w:snapToGrid w:val="0"/>
          <w:sz w:val="21"/>
          <w:szCs w:val="21"/>
          <w:highlight w:val="none"/>
        </w:rPr>
        <w:t>按第三章评标办法前附表商务部分要求提供证明材料。</w:t>
      </w:r>
      <w:r>
        <w:rPr>
          <w:rFonts w:hint="eastAsia" w:ascii="宋体" w:hAnsi="宋体" w:eastAsia="宋体" w:cs="宋体"/>
          <w:b/>
          <w:bCs/>
          <w:sz w:val="28"/>
          <w:szCs w:val="28"/>
          <w:highlight w:val="none"/>
          <w:lang w:eastAsia="zh-CN"/>
        </w:rPr>
        <w:br w:type="page"/>
      </w:r>
    </w:p>
    <w:p>
      <w:pPr>
        <w:pStyle w:val="26"/>
        <w:spacing w:after="0" w:line="360" w:lineRule="auto"/>
        <w:ind w:left="1"/>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lang w:val="en-US" w:eastAsia="zh-CN"/>
        </w:rPr>
        <w:t>二</w:t>
      </w: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rPr>
        <w:t>业绩要求</w:t>
      </w:r>
    </w:p>
    <w:p>
      <w:pPr>
        <w:pStyle w:val="17"/>
        <w:rPr>
          <w:rFonts w:hint="eastAsia"/>
          <w:highlight w:val="none"/>
        </w:rPr>
      </w:pPr>
    </w:p>
    <w:tbl>
      <w:tblPr>
        <w:tblStyle w:val="15"/>
        <w:tblW w:w="9719" w:type="dxa"/>
        <w:tblInd w:w="0" w:type="dxa"/>
        <w:tblLayout w:type="fixed"/>
        <w:tblCellMar>
          <w:top w:w="0" w:type="dxa"/>
          <w:left w:w="0" w:type="dxa"/>
          <w:bottom w:w="0" w:type="dxa"/>
          <w:right w:w="0" w:type="dxa"/>
        </w:tblCellMar>
      </w:tblPr>
      <w:tblGrid>
        <w:gridCol w:w="1145"/>
        <w:gridCol w:w="1480"/>
        <w:gridCol w:w="1479"/>
        <w:gridCol w:w="2354"/>
        <w:gridCol w:w="2116"/>
        <w:gridCol w:w="1145"/>
      </w:tblGrid>
      <w:tr>
        <w:tblPrEx>
          <w:tblLayout w:type="fixed"/>
          <w:tblCellMar>
            <w:top w:w="0" w:type="dxa"/>
            <w:left w:w="0" w:type="dxa"/>
            <w:bottom w:w="0" w:type="dxa"/>
            <w:right w:w="0" w:type="dxa"/>
          </w:tblCellMar>
        </w:tblPrEx>
        <w:trPr>
          <w:trHeight w:val="270" w:hRule="atLeast"/>
        </w:trPr>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000000"/>
                <w:sz w:val="24"/>
                <w:szCs w:val="24"/>
                <w:highlight w:val="none"/>
              </w:rPr>
            </w:pPr>
            <w:r>
              <w:rPr>
                <w:rFonts w:hint="eastAsia" w:ascii="黑体" w:hAnsi="宋体" w:eastAsia="黑体" w:cs="黑体"/>
                <w:color w:val="000000"/>
                <w:kern w:val="0"/>
                <w:sz w:val="24"/>
                <w:szCs w:val="24"/>
                <w:highlight w:val="none"/>
                <w:lang w:bidi="ar"/>
              </w:rPr>
              <w:t>序号</w:t>
            </w:r>
          </w:p>
        </w:tc>
        <w:tc>
          <w:tcPr>
            <w:tcW w:w="1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highlight w:val="none"/>
              </w:rPr>
            </w:pPr>
            <w:r>
              <w:rPr>
                <w:rFonts w:hint="eastAsia" w:ascii="黑体" w:hAnsi="宋体" w:eastAsia="黑体" w:cs="黑体"/>
                <w:color w:val="000000"/>
                <w:kern w:val="0"/>
                <w:sz w:val="24"/>
                <w:szCs w:val="24"/>
                <w:highlight w:val="none"/>
                <w:lang w:bidi="ar"/>
              </w:rPr>
              <w:t>项目名称</w:t>
            </w:r>
          </w:p>
        </w:tc>
        <w:tc>
          <w:tcPr>
            <w:tcW w:w="1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highlight w:val="none"/>
              </w:rPr>
            </w:pPr>
            <w:r>
              <w:rPr>
                <w:rFonts w:hint="eastAsia" w:ascii="黑体" w:hAnsi="宋体" w:eastAsia="黑体" w:cs="黑体"/>
                <w:color w:val="000000"/>
                <w:kern w:val="0"/>
                <w:sz w:val="24"/>
                <w:szCs w:val="24"/>
                <w:highlight w:val="none"/>
                <w:lang w:bidi="ar"/>
              </w:rPr>
              <w:t>项目类别</w:t>
            </w:r>
          </w:p>
        </w:tc>
        <w:tc>
          <w:tcPr>
            <w:tcW w:w="2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highlight w:val="none"/>
              </w:rPr>
            </w:pPr>
            <w:r>
              <w:rPr>
                <w:rFonts w:hint="eastAsia" w:ascii="黑体" w:hAnsi="宋体" w:eastAsia="黑体" w:cs="黑体"/>
                <w:color w:val="000000"/>
                <w:kern w:val="0"/>
                <w:sz w:val="24"/>
                <w:szCs w:val="24"/>
                <w:highlight w:val="none"/>
                <w:lang w:bidi="ar"/>
              </w:rPr>
              <w:t>合同签订时间</w:t>
            </w:r>
          </w:p>
        </w:tc>
        <w:tc>
          <w:tcPr>
            <w:tcW w:w="21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highlight w:val="none"/>
              </w:rPr>
            </w:pPr>
            <w:r>
              <w:rPr>
                <w:rFonts w:hint="eastAsia" w:ascii="黑体" w:hAnsi="宋体" w:eastAsia="黑体" w:cs="黑体"/>
                <w:color w:val="000000"/>
                <w:kern w:val="0"/>
                <w:sz w:val="24"/>
                <w:szCs w:val="24"/>
                <w:highlight w:val="none"/>
                <w:lang w:eastAsia="zh-CN" w:bidi="ar"/>
              </w:rPr>
              <w:t>涉及河流数量</w:t>
            </w: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highlight w:val="none"/>
              </w:rPr>
            </w:pPr>
            <w:r>
              <w:rPr>
                <w:rFonts w:hint="eastAsia" w:ascii="黑体" w:hAnsi="宋体" w:eastAsia="黑体" w:cs="黑体"/>
                <w:color w:val="000000"/>
                <w:kern w:val="0"/>
                <w:sz w:val="24"/>
                <w:szCs w:val="24"/>
                <w:highlight w:val="none"/>
                <w:lang w:bidi="ar"/>
              </w:rPr>
              <w:t>备注</w:t>
            </w:r>
          </w:p>
        </w:tc>
      </w:tr>
      <w:tr>
        <w:tblPrEx>
          <w:tblLayout w:type="fixed"/>
          <w:tblCellMar>
            <w:top w:w="0" w:type="dxa"/>
            <w:left w:w="0" w:type="dxa"/>
            <w:bottom w:w="0" w:type="dxa"/>
            <w:right w:w="0" w:type="dxa"/>
          </w:tblCellMar>
        </w:tblPrEx>
        <w:trPr>
          <w:trHeight w:val="270" w:hRule="atLeast"/>
        </w:trPr>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c>
          <w:tcPr>
            <w:tcW w:w="1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c>
          <w:tcPr>
            <w:tcW w:w="1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c>
          <w:tcPr>
            <w:tcW w:w="2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c>
          <w:tcPr>
            <w:tcW w:w="21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r>
      <w:tr>
        <w:tblPrEx>
          <w:tblLayout w:type="fixed"/>
          <w:tblCellMar>
            <w:top w:w="0" w:type="dxa"/>
            <w:left w:w="0" w:type="dxa"/>
            <w:bottom w:w="0" w:type="dxa"/>
            <w:right w:w="0" w:type="dxa"/>
          </w:tblCellMar>
        </w:tblPrEx>
        <w:trPr>
          <w:trHeight w:val="270" w:hRule="atLeast"/>
        </w:trPr>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c>
          <w:tcPr>
            <w:tcW w:w="1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c>
          <w:tcPr>
            <w:tcW w:w="1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c>
          <w:tcPr>
            <w:tcW w:w="2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c>
          <w:tcPr>
            <w:tcW w:w="21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r>
      <w:tr>
        <w:tblPrEx>
          <w:tblLayout w:type="fixed"/>
          <w:tblCellMar>
            <w:top w:w="0" w:type="dxa"/>
            <w:left w:w="0" w:type="dxa"/>
            <w:bottom w:w="0" w:type="dxa"/>
            <w:right w:w="0" w:type="dxa"/>
          </w:tblCellMar>
        </w:tblPrEx>
        <w:trPr>
          <w:trHeight w:val="270" w:hRule="atLeast"/>
        </w:trPr>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c>
          <w:tcPr>
            <w:tcW w:w="1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c>
          <w:tcPr>
            <w:tcW w:w="1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c>
          <w:tcPr>
            <w:tcW w:w="2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c>
          <w:tcPr>
            <w:tcW w:w="21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r>
      <w:tr>
        <w:tblPrEx>
          <w:tblLayout w:type="fixed"/>
          <w:tblCellMar>
            <w:top w:w="0" w:type="dxa"/>
            <w:left w:w="0" w:type="dxa"/>
            <w:bottom w:w="0" w:type="dxa"/>
            <w:right w:w="0" w:type="dxa"/>
          </w:tblCellMar>
        </w:tblPrEx>
        <w:trPr>
          <w:trHeight w:val="270" w:hRule="atLeast"/>
        </w:trPr>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c>
          <w:tcPr>
            <w:tcW w:w="1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c>
          <w:tcPr>
            <w:tcW w:w="1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c>
          <w:tcPr>
            <w:tcW w:w="2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c>
          <w:tcPr>
            <w:tcW w:w="21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r>
      <w:tr>
        <w:tblPrEx>
          <w:tblLayout w:type="fixed"/>
          <w:tblCellMar>
            <w:top w:w="0" w:type="dxa"/>
            <w:left w:w="0" w:type="dxa"/>
            <w:bottom w:w="0" w:type="dxa"/>
            <w:right w:w="0" w:type="dxa"/>
          </w:tblCellMar>
        </w:tblPrEx>
        <w:trPr>
          <w:trHeight w:val="270" w:hRule="atLeast"/>
        </w:trPr>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c>
          <w:tcPr>
            <w:tcW w:w="1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c>
          <w:tcPr>
            <w:tcW w:w="1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c>
          <w:tcPr>
            <w:tcW w:w="2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c>
          <w:tcPr>
            <w:tcW w:w="21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r>
      <w:tr>
        <w:tblPrEx>
          <w:tblLayout w:type="fixed"/>
          <w:tblCellMar>
            <w:top w:w="0" w:type="dxa"/>
            <w:left w:w="0" w:type="dxa"/>
            <w:bottom w:w="0" w:type="dxa"/>
            <w:right w:w="0" w:type="dxa"/>
          </w:tblCellMar>
        </w:tblPrEx>
        <w:trPr>
          <w:trHeight w:val="270" w:hRule="atLeast"/>
        </w:trPr>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c>
          <w:tcPr>
            <w:tcW w:w="1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c>
          <w:tcPr>
            <w:tcW w:w="1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c>
          <w:tcPr>
            <w:tcW w:w="2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c>
          <w:tcPr>
            <w:tcW w:w="21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r>
      <w:tr>
        <w:tblPrEx>
          <w:tblLayout w:type="fixed"/>
          <w:tblCellMar>
            <w:top w:w="0" w:type="dxa"/>
            <w:left w:w="0" w:type="dxa"/>
            <w:bottom w:w="0" w:type="dxa"/>
            <w:right w:w="0" w:type="dxa"/>
          </w:tblCellMar>
        </w:tblPrEx>
        <w:trPr>
          <w:trHeight w:val="270" w:hRule="atLeast"/>
        </w:trPr>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c>
          <w:tcPr>
            <w:tcW w:w="1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c>
          <w:tcPr>
            <w:tcW w:w="1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c>
          <w:tcPr>
            <w:tcW w:w="2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c>
          <w:tcPr>
            <w:tcW w:w="21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r>
      <w:tr>
        <w:tblPrEx>
          <w:tblLayout w:type="fixed"/>
          <w:tblCellMar>
            <w:top w:w="0" w:type="dxa"/>
            <w:left w:w="0" w:type="dxa"/>
            <w:bottom w:w="0" w:type="dxa"/>
            <w:right w:w="0" w:type="dxa"/>
          </w:tblCellMar>
        </w:tblPrEx>
        <w:trPr>
          <w:trHeight w:val="270" w:hRule="atLeast"/>
        </w:trPr>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c>
          <w:tcPr>
            <w:tcW w:w="1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c>
          <w:tcPr>
            <w:tcW w:w="1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c>
          <w:tcPr>
            <w:tcW w:w="2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c>
          <w:tcPr>
            <w:tcW w:w="21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r>
      <w:tr>
        <w:tblPrEx>
          <w:tblLayout w:type="fixed"/>
          <w:tblCellMar>
            <w:top w:w="0" w:type="dxa"/>
            <w:left w:w="0" w:type="dxa"/>
            <w:bottom w:w="0" w:type="dxa"/>
            <w:right w:w="0" w:type="dxa"/>
          </w:tblCellMar>
        </w:tblPrEx>
        <w:trPr>
          <w:trHeight w:val="270" w:hRule="atLeast"/>
        </w:trPr>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c>
          <w:tcPr>
            <w:tcW w:w="1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c>
          <w:tcPr>
            <w:tcW w:w="1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c>
          <w:tcPr>
            <w:tcW w:w="2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c>
          <w:tcPr>
            <w:tcW w:w="21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r>
      <w:tr>
        <w:tblPrEx>
          <w:tblLayout w:type="fixed"/>
          <w:tblCellMar>
            <w:top w:w="0" w:type="dxa"/>
            <w:left w:w="0" w:type="dxa"/>
            <w:bottom w:w="0" w:type="dxa"/>
            <w:right w:w="0" w:type="dxa"/>
          </w:tblCellMar>
        </w:tblPrEx>
        <w:trPr>
          <w:trHeight w:val="270" w:hRule="atLeast"/>
        </w:trPr>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c>
          <w:tcPr>
            <w:tcW w:w="1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c>
          <w:tcPr>
            <w:tcW w:w="1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c>
          <w:tcPr>
            <w:tcW w:w="2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c>
          <w:tcPr>
            <w:tcW w:w="21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r>
      <w:tr>
        <w:tblPrEx>
          <w:tblLayout w:type="fixed"/>
          <w:tblCellMar>
            <w:top w:w="0" w:type="dxa"/>
            <w:left w:w="0" w:type="dxa"/>
            <w:bottom w:w="0" w:type="dxa"/>
            <w:right w:w="0" w:type="dxa"/>
          </w:tblCellMar>
        </w:tblPrEx>
        <w:trPr>
          <w:trHeight w:val="270" w:hRule="atLeast"/>
        </w:trPr>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c>
          <w:tcPr>
            <w:tcW w:w="1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c>
          <w:tcPr>
            <w:tcW w:w="1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c>
          <w:tcPr>
            <w:tcW w:w="2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c>
          <w:tcPr>
            <w:tcW w:w="21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r>
      <w:tr>
        <w:tblPrEx>
          <w:tblLayout w:type="fixed"/>
          <w:tblCellMar>
            <w:top w:w="0" w:type="dxa"/>
            <w:left w:w="0" w:type="dxa"/>
            <w:bottom w:w="0" w:type="dxa"/>
            <w:right w:w="0" w:type="dxa"/>
          </w:tblCellMar>
        </w:tblPrEx>
        <w:trPr>
          <w:trHeight w:val="270" w:hRule="atLeast"/>
        </w:trPr>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c>
          <w:tcPr>
            <w:tcW w:w="1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c>
          <w:tcPr>
            <w:tcW w:w="1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c>
          <w:tcPr>
            <w:tcW w:w="2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c>
          <w:tcPr>
            <w:tcW w:w="21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r>
      <w:tr>
        <w:tblPrEx>
          <w:tblLayout w:type="fixed"/>
          <w:tblCellMar>
            <w:top w:w="0" w:type="dxa"/>
            <w:left w:w="0" w:type="dxa"/>
            <w:bottom w:w="0" w:type="dxa"/>
            <w:right w:w="0" w:type="dxa"/>
          </w:tblCellMar>
        </w:tblPrEx>
        <w:trPr>
          <w:trHeight w:val="270" w:hRule="atLeast"/>
        </w:trPr>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c>
          <w:tcPr>
            <w:tcW w:w="1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c>
          <w:tcPr>
            <w:tcW w:w="1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c>
          <w:tcPr>
            <w:tcW w:w="2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c>
          <w:tcPr>
            <w:tcW w:w="21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szCs w:val="24"/>
                <w:highlight w:val="none"/>
              </w:rPr>
            </w:pPr>
          </w:p>
        </w:tc>
      </w:tr>
    </w:tbl>
    <w:p>
      <w:pPr>
        <w:autoSpaceDE w:val="0"/>
        <w:autoSpaceDN w:val="0"/>
        <w:adjustRightInd w:val="0"/>
        <w:spacing w:before="120" w:after="120"/>
        <w:ind w:left="105" w:right="105" w:firstLine="220"/>
        <w:jc w:val="left"/>
        <w:rPr>
          <w:rFonts w:ascii="宋体" w:hAnsi="宋体" w:cs="宋体"/>
          <w:kern w:val="0"/>
          <w:sz w:val="11"/>
          <w:szCs w:val="11"/>
          <w:highlight w:val="none"/>
        </w:rPr>
      </w:pPr>
    </w:p>
    <w:p>
      <w:pPr>
        <w:autoSpaceDE w:val="0"/>
        <w:autoSpaceDN w:val="0"/>
        <w:adjustRightInd w:val="0"/>
        <w:spacing w:line="360" w:lineRule="auto"/>
        <w:ind w:left="108" w:right="108" w:firstLine="420"/>
        <w:jc w:val="left"/>
        <w:rPr>
          <w:rFonts w:hint="eastAsia" w:ascii="宋体" w:hAnsi="宋体" w:cs="宋体"/>
          <w:szCs w:val="21"/>
          <w:highlight w:val="none"/>
        </w:rPr>
      </w:pPr>
      <w:r>
        <w:rPr>
          <w:rFonts w:hint="eastAsia" w:ascii="宋体" w:hAnsi="宋体" w:cs="宋体"/>
          <w:color w:val="000000"/>
          <w:szCs w:val="21"/>
          <w:highlight w:val="none"/>
        </w:rPr>
        <w:t>注：1.“项目类别”包含：</w:t>
      </w:r>
      <w:r>
        <w:rPr>
          <w:rFonts w:hint="eastAsia" w:ascii="宋体" w:hAnsi="宋体" w:cs="宋体"/>
          <w:color w:val="000000"/>
          <w:szCs w:val="21"/>
          <w:highlight w:val="none"/>
          <w:lang w:eastAsia="zh-CN"/>
        </w:rPr>
        <w:t>防洪专项研究、</w:t>
      </w:r>
      <w:r>
        <w:rPr>
          <w:rFonts w:hint="eastAsia" w:ascii="宋体" w:hAnsi="宋体" w:cs="宋体"/>
          <w:szCs w:val="21"/>
          <w:highlight w:val="none"/>
        </w:rPr>
        <w:t>水系规划、</w:t>
      </w:r>
      <w:r>
        <w:rPr>
          <w:rFonts w:hint="eastAsia" w:ascii="宋体" w:hAnsi="宋体" w:cs="宋体"/>
          <w:bCs/>
          <w:szCs w:val="21"/>
          <w:highlight w:val="none"/>
        </w:rPr>
        <w:t>洪水影响评价区域论证</w:t>
      </w:r>
      <w:r>
        <w:rPr>
          <w:rFonts w:hint="eastAsia" w:ascii="宋体" w:hAnsi="宋体" w:cs="宋体"/>
          <w:szCs w:val="21"/>
          <w:highlight w:val="none"/>
        </w:rPr>
        <w:t>。</w:t>
      </w:r>
    </w:p>
    <w:p>
      <w:pPr>
        <w:pStyle w:val="17"/>
        <w:ind w:firstLine="840" w:firstLineChars="400"/>
        <w:rPr>
          <w:rFonts w:hint="eastAsia" w:ascii="宋体" w:hAnsi="宋体" w:eastAsia="宋体" w:cs="宋体"/>
          <w:snapToGrid w:val="0"/>
          <w:kern w:val="0"/>
          <w:sz w:val="21"/>
          <w:szCs w:val="21"/>
          <w:highlight w:val="none"/>
        </w:rPr>
      </w:pPr>
      <w:r>
        <w:rPr>
          <w:rFonts w:hint="eastAsia" w:ascii="宋体" w:hAnsi="宋体" w:eastAsia="宋体" w:cs="宋体"/>
          <w:sz w:val="21"/>
          <w:szCs w:val="21"/>
          <w:highlight w:val="none"/>
        </w:rPr>
        <w:t>2.</w:t>
      </w:r>
      <w:r>
        <w:rPr>
          <w:rFonts w:hint="eastAsia" w:hAnsi="宋体" w:eastAsia="宋体" w:cs="宋体"/>
          <w:snapToGrid w:val="0"/>
          <w:sz w:val="21"/>
          <w:szCs w:val="21"/>
          <w:highlight w:val="none"/>
        </w:rPr>
        <w:t>按第三章评标办法前附表商务部分要求提供证明材料。</w:t>
      </w:r>
    </w:p>
    <w:p>
      <w:pPr>
        <w:pStyle w:val="17"/>
        <w:ind w:firstLine="840" w:firstLineChars="400"/>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br w:type="page"/>
      </w:r>
    </w:p>
    <w:p>
      <w:pPr>
        <w:pStyle w:val="17"/>
        <w:spacing w:line="360" w:lineRule="auto"/>
        <w:ind w:firstLine="0" w:firstLineChars="0"/>
        <w:jc w:val="center"/>
        <w:rPr>
          <w:rFonts w:hint="eastAsia" w:ascii="宋体" w:hAnsi="宋体" w:eastAsia="宋体" w:cs="宋体"/>
          <w:snapToGrid w:val="0"/>
          <w:kern w:val="0"/>
          <w:szCs w:val="21"/>
          <w:highlight w:val="none"/>
        </w:rPr>
      </w:pPr>
      <w:r>
        <w:rPr>
          <w:rFonts w:hint="eastAsia" w:ascii="宋体" w:hAnsi="宋体" w:eastAsia="宋体" w:cs="宋体"/>
          <w:b/>
          <w:bCs/>
          <w:sz w:val="28"/>
          <w:szCs w:val="28"/>
          <w:highlight w:val="none"/>
          <w:lang w:eastAsia="zh-CN"/>
        </w:rPr>
        <w:t>（</w:t>
      </w:r>
      <w:r>
        <w:rPr>
          <w:rFonts w:hint="eastAsia" w:hAnsi="宋体" w:eastAsia="宋体" w:cs="宋体"/>
          <w:b/>
          <w:bCs/>
          <w:sz w:val="28"/>
          <w:szCs w:val="28"/>
          <w:highlight w:val="none"/>
          <w:lang w:val="en-US" w:eastAsia="zh-CN"/>
        </w:rPr>
        <w:t>三</w:t>
      </w:r>
      <w:r>
        <w:rPr>
          <w:rFonts w:hint="eastAsia" w:ascii="宋体" w:hAnsi="宋体" w:eastAsia="宋体" w:cs="宋体"/>
          <w:b/>
          <w:bCs/>
          <w:sz w:val="28"/>
          <w:szCs w:val="28"/>
          <w:highlight w:val="none"/>
          <w:lang w:eastAsia="zh-CN"/>
        </w:rPr>
        <w:t>）</w:t>
      </w:r>
      <w:r>
        <w:rPr>
          <w:rFonts w:hint="eastAsia" w:hAnsi="宋体" w:eastAsia="宋体" w:cs="宋体"/>
          <w:b/>
          <w:bCs/>
          <w:sz w:val="28"/>
          <w:szCs w:val="28"/>
          <w:highlight w:val="none"/>
        </w:rPr>
        <w:t>项目人力资源配置</w:t>
      </w:r>
    </w:p>
    <w:p>
      <w:pPr>
        <w:pStyle w:val="26"/>
        <w:snapToGrid w:val="0"/>
        <w:spacing w:after="0" w:line="360" w:lineRule="auto"/>
        <w:ind w:firstLine="420" w:firstLineChars="200"/>
        <w:rPr>
          <w:rFonts w:hAnsi="宋体" w:cs="黑体"/>
          <w:b/>
          <w:bCs/>
          <w:sz w:val="21"/>
          <w:szCs w:val="21"/>
          <w:highlight w:val="none"/>
        </w:rPr>
      </w:pPr>
    </w:p>
    <w:p>
      <w:pPr>
        <w:pStyle w:val="26"/>
        <w:spacing w:after="0"/>
        <w:ind w:left="1"/>
        <w:jc w:val="center"/>
        <w:rPr>
          <w:rFonts w:hAnsi="宋体" w:cs="黑体"/>
          <w:b/>
          <w:bCs/>
          <w:sz w:val="28"/>
          <w:szCs w:val="28"/>
          <w:highlight w:val="none"/>
        </w:rPr>
      </w:pPr>
      <w:r>
        <w:rPr>
          <w:rFonts w:hint="eastAsia" w:ascii="宋体" w:hAnsi="宋体" w:eastAsia="宋体" w:cs="宋体"/>
          <w:snapToGrid w:val="0"/>
          <w:sz w:val="21"/>
          <w:szCs w:val="21"/>
          <w:highlight w:val="none"/>
        </w:rPr>
        <w:t>按第三章评标办法前附表商务部分要求提供证明材料。</w:t>
      </w:r>
      <w:r>
        <w:rPr>
          <w:rFonts w:hAnsi="宋体" w:cs="黑体"/>
          <w:b/>
          <w:bCs/>
          <w:sz w:val="28"/>
          <w:szCs w:val="28"/>
          <w:highlight w:val="none"/>
        </w:rPr>
        <w:br w:type="page"/>
      </w:r>
    </w:p>
    <w:bookmarkEnd w:id="187"/>
    <w:bookmarkEnd w:id="188"/>
    <w:bookmarkEnd w:id="189"/>
    <w:bookmarkEnd w:id="190"/>
    <w:p>
      <w:pPr>
        <w:pStyle w:val="26"/>
        <w:spacing w:after="0"/>
        <w:jc w:val="center"/>
        <w:outlineLvl w:val="1"/>
        <w:rPr>
          <w:rFonts w:hAnsi="宋体" w:cs="黑体"/>
          <w:b/>
          <w:bCs/>
          <w:sz w:val="28"/>
          <w:szCs w:val="28"/>
          <w:highlight w:val="none"/>
        </w:rPr>
      </w:pPr>
      <w:bookmarkStart w:id="191" w:name="_Toc13616"/>
      <w:bookmarkStart w:id="192" w:name="_Toc30366"/>
      <w:bookmarkStart w:id="193" w:name="_Toc29395"/>
      <w:bookmarkStart w:id="194" w:name="_Toc23567"/>
      <w:r>
        <w:rPr>
          <w:rFonts w:hint="eastAsia" w:ascii="宋体" w:hAnsi="宋体" w:eastAsia="宋体" w:cs="宋体"/>
          <w:b/>
          <w:bCs/>
          <w:sz w:val="28"/>
          <w:szCs w:val="28"/>
          <w:highlight w:val="none"/>
        </w:rPr>
        <w:t>四、技术部分</w:t>
      </w:r>
      <w:bookmarkEnd w:id="191"/>
      <w:bookmarkEnd w:id="192"/>
      <w:bookmarkEnd w:id="193"/>
      <w:bookmarkEnd w:id="194"/>
    </w:p>
    <w:p>
      <w:pPr>
        <w:spacing w:before="120" w:beforeLines="50" w:after="120" w:afterLines="50" w:line="360" w:lineRule="exact"/>
        <w:ind w:firstLine="420" w:firstLineChars="200"/>
        <w:rPr>
          <w:highlight w:val="none"/>
        </w:rPr>
      </w:pPr>
    </w:p>
    <w:p>
      <w:pPr>
        <w:widowControl/>
        <w:adjustRightInd w:val="0"/>
        <w:snapToGrid w:val="0"/>
        <w:spacing w:line="360" w:lineRule="auto"/>
        <w:ind w:firstLine="420" w:firstLineChars="200"/>
        <w:jc w:val="left"/>
        <w:rPr>
          <w:snapToGrid w:val="0"/>
          <w:szCs w:val="21"/>
          <w:highlight w:val="none"/>
        </w:rPr>
      </w:pPr>
      <w:r>
        <w:rPr>
          <w:rFonts w:hint="eastAsia" w:ascii="宋体" w:hAnsi="宋体" w:cs="宋体"/>
          <w:szCs w:val="21"/>
          <w:highlight w:val="none"/>
        </w:rPr>
        <w:t>注：投标人应根据招标人提供的招标文件和国家及行业规范要求，结合本项目的实际情况，编制投标技术部分文件。</w:t>
      </w:r>
    </w:p>
    <w:p>
      <w:pPr>
        <w:rPr>
          <w:highlight w:val="none"/>
        </w:rPr>
      </w:pPr>
    </w:p>
    <w:p/>
    <w:sectPr>
      <w:headerReference r:id="rId4" w:type="default"/>
      <w:footerReference r:id="rId5" w:type="default"/>
      <w:pgSz w:w="11850" w:h="16783"/>
      <w:pgMar w:top="1134" w:right="1134" w:bottom="1134" w:left="1417" w:header="850" w:footer="992"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ingLiU">
    <w:altName w:val="PMingLiU-ExtB"/>
    <w:panose1 w:val="02020509000000000000"/>
    <w:charset w:val="88"/>
    <w:family w:val="moder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EFF" w:usb1="C000785B" w:usb2="00000009" w:usb3="00000000" w:csb0="400001FF" w:csb1="FFFF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C57141"/>
    <w:multiLevelType w:val="singleLevel"/>
    <w:tmpl w:val="7CC57141"/>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4NzZiYWY0ZDhiMjk2ZDQ3YjRiYWNkYTI4Yjk3YzYifQ=="/>
  </w:docVars>
  <w:rsids>
    <w:rsidRoot w:val="20540026"/>
    <w:rsid w:val="00A97C74"/>
    <w:rsid w:val="03A818FF"/>
    <w:rsid w:val="04BB237E"/>
    <w:rsid w:val="06AE6290"/>
    <w:rsid w:val="071F53DE"/>
    <w:rsid w:val="08634365"/>
    <w:rsid w:val="08B62238"/>
    <w:rsid w:val="0B88145B"/>
    <w:rsid w:val="0E1D259E"/>
    <w:rsid w:val="0E945175"/>
    <w:rsid w:val="0EBC14A7"/>
    <w:rsid w:val="120117F5"/>
    <w:rsid w:val="130661E5"/>
    <w:rsid w:val="13E4389B"/>
    <w:rsid w:val="16CD2FE4"/>
    <w:rsid w:val="18491B43"/>
    <w:rsid w:val="19DF095A"/>
    <w:rsid w:val="1BC91066"/>
    <w:rsid w:val="1C28526D"/>
    <w:rsid w:val="1D4B3C5A"/>
    <w:rsid w:val="20540026"/>
    <w:rsid w:val="20950F81"/>
    <w:rsid w:val="20FF40AB"/>
    <w:rsid w:val="235848B7"/>
    <w:rsid w:val="23595F0C"/>
    <w:rsid w:val="250F0D85"/>
    <w:rsid w:val="274B1EE3"/>
    <w:rsid w:val="294F0054"/>
    <w:rsid w:val="2C740647"/>
    <w:rsid w:val="2FB811A0"/>
    <w:rsid w:val="30F02FA0"/>
    <w:rsid w:val="32CA2C20"/>
    <w:rsid w:val="33CA5DA5"/>
    <w:rsid w:val="3622751F"/>
    <w:rsid w:val="367A5FD7"/>
    <w:rsid w:val="36D0176F"/>
    <w:rsid w:val="38624C84"/>
    <w:rsid w:val="3CAB598E"/>
    <w:rsid w:val="3DF74434"/>
    <w:rsid w:val="3DFC36B8"/>
    <w:rsid w:val="3FDD01A7"/>
    <w:rsid w:val="42CA32EC"/>
    <w:rsid w:val="4314690D"/>
    <w:rsid w:val="43E9521C"/>
    <w:rsid w:val="4500160B"/>
    <w:rsid w:val="45AB3E8F"/>
    <w:rsid w:val="45F96EC4"/>
    <w:rsid w:val="48391D11"/>
    <w:rsid w:val="48A713B8"/>
    <w:rsid w:val="48C24D15"/>
    <w:rsid w:val="499853C5"/>
    <w:rsid w:val="4C9D4A6C"/>
    <w:rsid w:val="4D01310D"/>
    <w:rsid w:val="4D260155"/>
    <w:rsid w:val="4F415C0D"/>
    <w:rsid w:val="51527126"/>
    <w:rsid w:val="53205F83"/>
    <w:rsid w:val="53B17D6C"/>
    <w:rsid w:val="54975D60"/>
    <w:rsid w:val="555E30D6"/>
    <w:rsid w:val="5C3C3826"/>
    <w:rsid w:val="5CD076E3"/>
    <w:rsid w:val="5E9E295E"/>
    <w:rsid w:val="622E0201"/>
    <w:rsid w:val="63526D25"/>
    <w:rsid w:val="63963A6D"/>
    <w:rsid w:val="66BD79EC"/>
    <w:rsid w:val="694B09EC"/>
    <w:rsid w:val="69944C1C"/>
    <w:rsid w:val="6A02478D"/>
    <w:rsid w:val="6A2551CA"/>
    <w:rsid w:val="6B7A4690"/>
    <w:rsid w:val="6C7C1E01"/>
    <w:rsid w:val="6D5917F4"/>
    <w:rsid w:val="6D807FB2"/>
    <w:rsid w:val="6E692DC9"/>
    <w:rsid w:val="772950ED"/>
    <w:rsid w:val="7A0B5EB2"/>
    <w:rsid w:val="7C920BCF"/>
    <w:rsid w:val="7D1B40A2"/>
    <w:rsid w:val="7FB13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4"/>
    <w:next w:val="1"/>
    <w:qFormat/>
    <w:uiPriority w:val="0"/>
    <w:pPr>
      <w:keepNext/>
      <w:keepLines/>
      <w:spacing w:before="100" w:after="100" w:line="416" w:lineRule="auto"/>
      <w:outlineLvl w:val="1"/>
    </w:pPr>
    <w:rPr>
      <w:rFonts w:ascii="Cambria" w:hAnsi="Cambria" w:eastAsia="宋体"/>
      <w:b/>
      <w:bCs/>
      <w:sz w:val="21"/>
      <w:szCs w:val="32"/>
    </w:rPr>
  </w:style>
  <w:style w:type="paragraph" w:styleId="5">
    <w:name w:val="heading 3"/>
    <w:basedOn w:val="1"/>
    <w:next w:val="1"/>
    <w:qFormat/>
    <w:uiPriority w:val="0"/>
    <w:pPr>
      <w:keepNext/>
      <w:keepLines/>
      <w:spacing w:before="100" w:after="100" w:line="416" w:lineRule="auto"/>
      <w:outlineLvl w:val="2"/>
    </w:pPr>
    <w:rPr>
      <w:rFonts w:ascii="Times New Roman" w:hAnsi="Times New Roman" w:eastAsia="宋体"/>
      <w:b/>
      <w:bCs/>
      <w:sz w:val="21"/>
      <w:szCs w:val="32"/>
    </w:rPr>
  </w:style>
  <w:style w:type="character" w:default="1" w:styleId="14">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customStyle="1" w:styleId="4">
    <w:name w:val="zjb正文"/>
    <w:basedOn w:val="1"/>
    <w:qFormat/>
    <w:uiPriority w:val="0"/>
    <w:pPr>
      <w:widowControl/>
      <w:spacing w:line="360" w:lineRule="auto"/>
      <w:ind w:firstLine="200" w:firstLineChars="200"/>
      <w:jc w:val="left"/>
    </w:pPr>
    <w:rPr>
      <w:rFonts w:ascii="仿宋_GB2312" w:hAnsi="仿宋" w:eastAsia="仿宋_GB2312" w:cs="宋体"/>
      <w:color w:val="000000"/>
      <w:kern w:val="0"/>
      <w:sz w:val="30"/>
      <w:szCs w:val="30"/>
      <w:lang w:eastAsia="en-US"/>
    </w:rPr>
  </w:style>
  <w:style w:type="paragraph" w:styleId="6">
    <w:name w:val="Normal Indent"/>
    <w:basedOn w:val="1"/>
    <w:next w:val="1"/>
    <w:semiHidden/>
    <w:qFormat/>
    <w:uiPriority w:val="0"/>
    <w:pPr>
      <w:widowControl w:val="0"/>
      <w:adjustRightInd w:val="0"/>
      <w:snapToGrid w:val="0"/>
      <w:spacing w:line="360" w:lineRule="auto"/>
      <w:ind w:firstLine="420"/>
    </w:pPr>
  </w:style>
  <w:style w:type="paragraph" w:styleId="7">
    <w:name w:val="annotation text"/>
    <w:basedOn w:val="1"/>
    <w:qFormat/>
    <w:uiPriority w:val="0"/>
    <w:pPr>
      <w:jc w:val="left"/>
    </w:pPr>
  </w:style>
  <w:style w:type="paragraph" w:styleId="8">
    <w:name w:val="Plain Text"/>
    <w:basedOn w:val="1"/>
    <w:qFormat/>
    <w:uiPriority w:val="0"/>
    <w:pPr>
      <w:autoSpaceDE w:val="0"/>
      <w:autoSpaceDN w:val="0"/>
      <w:jc w:val="left"/>
    </w:pPr>
    <w:rPr>
      <w:rFonts w:ascii="宋体" w:hAnsi="Courier New" w:eastAsia="宋体"/>
      <w:kern w:val="0"/>
      <w:sz w:val="22"/>
      <w:szCs w:val="21"/>
      <w:lang w:eastAsia="en-US"/>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pPr>
      <w:outlineLvl w:val="7"/>
    </w:pPr>
  </w:style>
  <w:style w:type="paragraph" w:styleId="12">
    <w:name w:val="toc 2"/>
    <w:basedOn w:val="1"/>
    <w:next w:val="1"/>
    <w:qFormat/>
    <w:uiPriority w:val="0"/>
    <w:pPr>
      <w:ind w:left="200"/>
    </w:pPr>
    <w:rPr>
      <w:rFonts w:ascii="Times New Roman" w:hAnsi="Times New Roman" w:eastAsia="宋体"/>
      <w:smallCaps/>
    </w:rPr>
  </w:style>
  <w:style w:type="paragraph" w:styleId="13">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customStyle="1" w:styleId="16">
    <w:name w:val="cl（章）正文标题"/>
    <w:basedOn w:val="1"/>
    <w:qFormat/>
    <w:uiPriority w:val="0"/>
    <w:pPr>
      <w:spacing w:line="360" w:lineRule="auto"/>
      <w:jc w:val="center"/>
      <w:outlineLvl w:val="0"/>
    </w:pPr>
    <w:rPr>
      <w:rFonts w:ascii="Calibri" w:hAnsi="Calibri" w:eastAsia="宋体"/>
      <w:b/>
      <w:sz w:val="36"/>
    </w:rPr>
  </w:style>
  <w:style w:type="paragraph" w:customStyle="1" w:styleId="17">
    <w:name w:val="Default"/>
    <w:qFormat/>
    <w:uiPriority w:val="0"/>
    <w:pPr>
      <w:widowControl w:val="0"/>
      <w:autoSpaceDE w:val="0"/>
      <w:autoSpaceDN w:val="0"/>
      <w:adjustRightInd w:val="0"/>
    </w:pPr>
    <w:rPr>
      <w:rFonts w:ascii="宋体" w:hAnsi="Times New Roman" w:eastAsia="等线" w:cs="Times New Roman"/>
      <w:color w:val="000000"/>
      <w:sz w:val="24"/>
      <w:szCs w:val="24"/>
      <w:lang w:val="en-US" w:eastAsia="zh-CN" w:bidi="ar-SA"/>
    </w:rPr>
  </w:style>
  <w:style w:type="paragraph" w:customStyle="1" w:styleId="18">
    <w:name w:val="（1节）正文标题"/>
    <w:basedOn w:val="1"/>
    <w:next w:val="5"/>
    <w:qFormat/>
    <w:uiPriority w:val="0"/>
    <w:pPr>
      <w:spacing w:before="30" w:beforeLines="30" w:after="20" w:afterLines="20" w:line="360" w:lineRule="auto"/>
      <w:ind w:firstLine="0" w:firstLineChars="0"/>
      <w:jc w:val="left"/>
      <w:outlineLvl w:val="1"/>
    </w:pPr>
    <w:rPr>
      <w:rFonts w:ascii="Calibri" w:hAnsi="Calibri" w:cs="Arial"/>
      <w:b/>
      <w:sz w:val="24"/>
    </w:rPr>
  </w:style>
  <w:style w:type="paragraph" w:customStyle="1" w:styleId="19">
    <w:name w:val="Table Paragraph"/>
    <w:basedOn w:val="1"/>
    <w:qFormat/>
    <w:uiPriority w:val="0"/>
    <w:pPr>
      <w:autoSpaceDE w:val="0"/>
      <w:autoSpaceDN w:val="0"/>
      <w:jc w:val="left"/>
    </w:pPr>
    <w:rPr>
      <w:rFonts w:ascii="宋体" w:hAnsi="宋体" w:cs="宋体"/>
      <w:kern w:val="0"/>
      <w:sz w:val="22"/>
      <w:lang w:val="zh-CN"/>
    </w:rPr>
  </w:style>
  <w:style w:type="paragraph" w:customStyle="1" w:styleId="20">
    <w:name w:val="正文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等线" w:cs="Times New Roman"/>
      <w:kern w:val="2"/>
      <w:sz w:val="21"/>
      <w:szCs w:val="22"/>
      <w:lang w:val="en-US" w:eastAsia="zh-CN" w:bidi="ar-SA"/>
    </w:rPr>
  </w:style>
  <w:style w:type="paragraph" w:customStyle="1" w:styleId="21">
    <w:name w:val="0前附表正文"/>
    <w:qFormat/>
    <w:uiPriority w:val="0"/>
    <w:pPr>
      <w:widowControl w:val="0"/>
      <w:autoSpaceDE w:val="0"/>
      <w:autoSpaceDN w:val="0"/>
      <w:adjustRightInd w:val="0"/>
    </w:pPr>
    <w:rPr>
      <w:rFonts w:ascii="宋体" w:hAnsi="宋体" w:eastAsia="等线" w:cs="Times New Roman"/>
      <w:color w:val="000000"/>
      <w:sz w:val="21"/>
      <w:szCs w:val="24"/>
      <w:lang w:val="en-US" w:eastAsia="zh-CN" w:bidi="ar-SA"/>
    </w:rPr>
  </w:style>
  <w:style w:type="paragraph" w:customStyle="1" w:styleId="22">
    <w:name w:val="表内文字"/>
    <w:basedOn w:val="1"/>
    <w:qFormat/>
    <w:uiPriority w:val="0"/>
    <w:pPr>
      <w:ind w:firstLine="0" w:firstLineChars="0"/>
    </w:pPr>
    <w:rPr>
      <w:szCs w:val="21"/>
    </w:rPr>
  </w:style>
  <w:style w:type="paragraph" w:customStyle="1" w:styleId="23">
    <w:name w:val="CL（章）正文标题"/>
    <w:basedOn w:val="1"/>
    <w:qFormat/>
    <w:uiPriority w:val="0"/>
    <w:pPr>
      <w:spacing w:line="360" w:lineRule="auto"/>
      <w:jc w:val="center"/>
      <w:outlineLvl w:val="0"/>
    </w:pPr>
    <w:rPr>
      <w:rFonts w:ascii="Calibri" w:hAnsi="Calibri" w:eastAsia="宋体" w:cs="Arial"/>
      <w:b/>
      <w:kern w:val="0"/>
      <w:sz w:val="36"/>
      <w:szCs w:val="20"/>
    </w:rPr>
  </w:style>
  <w:style w:type="character" w:customStyle="1" w:styleId="24">
    <w:name w:val="（章）正文标题 Char"/>
    <w:link w:val="25"/>
    <w:qFormat/>
    <w:uiPriority w:val="0"/>
    <w:rPr>
      <w:rFonts w:ascii="Calibri" w:hAnsi="Calibri" w:cs="Arial"/>
      <w:b/>
      <w:kern w:val="0"/>
      <w:sz w:val="36"/>
      <w:szCs w:val="20"/>
    </w:rPr>
  </w:style>
  <w:style w:type="paragraph" w:customStyle="1" w:styleId="25">
    <w:name w:val="1（章）正文标题"/>
    <w:basedOn w:val="1"/>
    <w:link w:val="24"/>
    <w:qFormat/>
    <w:uiPriority w:val="0"/>
    <w:pPr>
      <w:spacing w:line="360" w:lineRule="auto"/>
      <w:jc w:val="center"/>
      <w:outlineLvl w:val="0"/>
    </w:pPr>
    <w:rPr>
      <w:rFonts w:ascii="Calibri" w:hAnsi="Calibri" w:cs="Arial"/>
      <w:b/>
      <w:kern w:val="0"/>
      <w:sz w:val="36"/>
      <w:szCs w:val="20"/>
    </w:rPr>
  </w:style>
  <w:style w:type="paragraph" w:customStyle="1" w:styleId="26">
    <w:name w:val="CM91"/>
    <w:basedOn w:val="17"/>
    <w:next w:val="17"/>
    <w:qFormat/>
    <w:uiPriority w:val="0"/>
    <w:pPr>
      <w:spacing w:after="160"/>
    </w:pPr>
    <w:rPr>
      <w:rFonts w:ascii="Calibri" w:hAnsi="Calibri" w:cs="Times New Roman"/>
      <w:color w:val="auto"/>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33664</Words>
  <Characters>35820</Characters>
  <Lines>0</Lines>
  <Paragraphs>0</Paragraphs>
  <TotalTime>40</TotalTime>
  <ScaleCrop>false</ScaleCrop>
  <LinksUpToDate>false</LinksUpToDate>
  <CharactersWithSpaces>38368</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2022-07-04T01:23:00Z</dcterms:created>
  <dc:creator>第二机场前期办合同管理</dc:creator>
  <cp:lastModifiedBy>易志</cp:lastModifiedBy>
  <cp:lastPrinted>2022-07-25T07:11:00Z</cp:lastPrinted>
  <dcterms:modified xsi:type="dcterms:W3CDTF">2022-08-02T03:04:09Z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8B32C98B81C64E0B9FE2AA2940E8CA56</vt:lpwstr>
  </property>
</Properties>
</file>